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264EA133" w:rsidR="002D552E" w:rsidRDefault="002D552E" w:rsidP="094A2ECB">
      <w:pPr>
        <w:pStyle w:val="ListParagraph"/>
        <w:numPr>
          <w:ilvl w:val="0"/>
          <w:numId w:val="1"/>
        </w:numPr>
        <w:spacing w:after="0" w:line="240" w:lineRule="auto"/>
        <w:rPr>
          <w:rFonts w:eastAsia="Times New Roman" w:cs="Times New Roman"/>
          <w:b/>
          <w:bCs/>
        </w:rPr>
      </w:pPr>
      <w:r w:rsidRPr="094A2ECB">
        <w:rPr>
          <w:rFonts w:eastAsia="Times New Roman" w:cs="Times New Roman"/>
          <w:b/>
          <w:bCs/>
        </w:rPr>
        <w:t>COURSE TITLE*:</w:t>
      </w:r>
      <w:r w:rsidR="00FC2862" w:rsidRPr="094A2ECB">
        <w:rPr>
          <w:rFonts w:eastAsia="Times New Roman" w:cs="Times New Roman"/>
          <w:b/>
          <w:bCs/>
        </w:rPr>
        <w:t xml:space="preserve"> </w:t>
      </w:r>
      <w:r w:rsidR="002E3DD7" w:rsidRPr="094A2ECB">
        <w:rPr>
          <w:rFonts w:eastAsia="Times New Roman" w:cs="Times New Roman"/>
          <w:b/>
          <w:bCs/>
        </w:rPr>
        <w:t>LPN to RN Bridge</w:t>
      </w:r>
    </w:p>
    <w:p w14:paraId="2D789022" w14:textId="77777777" w:rsidR="00931E3B" w:rsidRPr="00931E3B" w:rsidRDefault="00931E3B" w:rsidP="094A2ECB">
      <w:pPr>
        <w:pStyle w:val="ListParagraph"/>
        <w:spacing w:after="0" w:line="240" w:lineRule="auto"/>
        <w:rPr>
          <w:rFonts w:eastAsia="Times New Roman" w:cs="Times New Roman"/>
          <w:b/>
          <w:bCs/>
        </w:rPr>
      </w:pPr>
    </w:p>
    <w:p w14:paraId="43D6665A" w14:textId="367E872E" w:rsidR="002D552E" w:rsidRPr="009079C9" w:rsidRDefault="002D552E" w:rsidP="094A2ECB">
      <w:pPr>
        <w:pStyle w:val="ListParagraph"/>
        <w:numPr>
          <w:ilvl w:val="0"/>
          <w:numId w:val="1"/>
        </w:numPr>
        <w:spacing w:after="0" w:line="240" w:lineRule="auto"/>
        <w:rPr>
          <w:rFonts w:eastAsia="Times New Roman" w:cs="Times New Roman"/>
          <w:b/>
          <w:bCs/>
        </w:rPr>
      </w:pPr>
      <w:r w:rsidRPr="094A2ECB">
        <w:rPr>
          <w:rFonts w:eastAsia="Times New Roman" w:cs="Times New Roman"/>
          <w:b/>
          <w:bCs/>
        </w:rPr>
        <w:t>CATALOG – PREFIX/COURSE NUMBER/COURSE SECTION*:</w:t>
      </w:r>
      <w:r w:rsidR="00FC2862" w:rsidRPr="094A2ECB">
        <w:rPr>
          <w:rFonts w:eastAsia="Times New Roman" w:cs="Times New Roman"/>
          <w:b/>
          <w:bCs/>
        </w:rPr>
        <w:t xml:space="preserve"> </w:t>
      </w:r>
      <w:r w:rsidR="002E3DD7" w:rsidRPr="094A2ECB">
        <w:rPr>
          <w:rFonts w:eastAsia="Times New Roman" w:cs="Times New Roman"/>
          <w:b/>
          <w:bCs/>
        </w:rPr>
        <w:t>NRSG 2200</w:t>
      </w:r>
      <w:r w:rsidR="002E3DD7" w:rsidRPr="094A2ECB">
        <w:rPr>
          <w:rFonts w:eastAsia="Times New Roman" w:cs="Times New Roman"/>
          <w:b/>
          <w:bCs/>
          <w:sz w:val="22"/>
        </w:rPr>
        <w:t xml:space="preserve"> </w:t>
      </w:r>
    </w:p>
    <w:p w14:paraId="43D6665B" w14:textId="77777777" w:rsidR="002D552E" w:rsidRPr="002D552E" w:rsidRDefault="002D552E" w:rsidP="094A2ECB">
      <w:pPr>
        <w:spacing w:after="0" w:line="240" w:lineRule="auto"/>
        <w:rPr>
          <w:rFonts w:eastAsia="Times New Roman" w:cs="Times New Roman"/>
          <w:b/>
          <w:bCs/>
        </w:rPr>
      </w:pPr>
    </w:p>
    <w:p w14:paraId="50F49D6C" w14:textId="77777777" w:rsidR="002E3DD7" w:rsidRPr="002E3DD7" w:rsidRDefault="002D552E" w:rsidP="002E3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2E3DD7">
        <w:rPr>
          <w:rFonts w:eastAsia="Times New Roman" w:cs="Times New Roman"/>
          <w:b/>
          <w:szCs w:val="24"/>
        </w:rPr>
        <w:t xml:space="preserve"> </w:t>
      </w:r>
      <w:r w:rsidR="002E3DD7" w:rsidRPr="002E3DD7">
        <w:rPr>
          <w:rFonts w:eastAsia="Times New Roman" w:cs="Times New Roman"/>
          <w:szCs w:val="24"/>
        </w:rPr>
        <w:t>Acceptance into the Nursing Transition Pathway</w:t>
      </w:r>
    </w:p>
    <w:p w14:paraId="7711D4FD" w14:textId="77777777" w:rsidR="009F25AE" w:rsidRDefault="009F25AE" w:rsidP="002E3DD7">
      <w:pPr>
        <w:pStyle w:val="ListParagraph"/>
        <w:spacing w:after="0" w:line="240" w:lineRule="auto"/>
        <w:rPr>
          <w:rFonts w:eastAsia="Times New Roman" w:cs="Times New Roman"/>
          <w:b/>
          <w:szCs w:val="24"/>
        </w:rPr>
      </w:pPr>
    </w:p>
    <w:p w14:paraId="43D6665C" w14:textId="1A24924D" w:rsidR="002D552E" w:rsidRPr="002D552E" w:rsidRDefault="002D552E" w:rsidP="002E3DD7">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D37C5B">
        <w:rPr>
          <w:rFonts w:eastAsia="Times New Roman" w:cs="Times New Roman"/>
          <w:b/>
          <w:szCs w:val="24"/>
        </w:rPr>
        <w:t xml:space="preserve"> </w:t>
      </w:r>
      <w:r w:rsidR="00D37C5B" w:rsidRPr="00D37C5B">
        <w:rPr>
          <w:rFonts w:eastAsia="Times New Roman" w:cs="Times New Roman"/>
          <w:bCs/>
          <w:szCs w:val="24"/>
        </w:rPr>
        <w:t>NRSG 2300</w:t>
      </w:r>
      <w:r w:rsidR="00D37C5B">
        <w:rPr>
          <w:rFonts w:eastAsia="Times New Roman" w:cs="Times New Roman"/>
          <w:bCs/>
          <w:szCs w:val="24"/>
        </w:rPr>
        <w:t>, BIOL 2300</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94A2ECB">
      <w:pPr>
        <w:pStyle w:val="ListParagraph"/>
        <w:numPr>
          <w:ilvl w:val="0"/>
          <w:numId w:val="1"/>
        </w:numPr>
        <w:spacing w:after="0" w:line="240" w:lineRule="auto"/>
        <w:rPr>
          <w:rFonts w:eastAsia="Times New Roman" w:cs="Times New Roman"/>
          <w:b/>
          <w:bCs/>
        </w:rPr>
      </w:pPr>
      <w:r w:rsidRPr="094A2ECB">
        <w:rPr>
          <w:rFonts w:eastAsia="Times New Roman" w:cs="Times New Roman"/>
          <w:b/>
          <w:bCs/>
        </w:rPr>
        <w:t>COURSE TIME/LOCATION</w:t>
      </w:r>
      <w:r w:rsidR="00A138F5" w:rsidRPr="094A2ECB">
        <w:rPr>
          <w:rFonts w:eastAsia="Times New Roman" w:cs="Times New Roman"/>
          <w:b/>
          <w:bCs/>
        </w:rPr>
        <w:t>/MODALITY</w:t>
      </w:r>
      <w:r w:rsidRPr="094A2ECB">
        <w:rPr>
          <w:rFonts w:eastAsia="Times New Roman" w:cs="Times New Roman"/>
          <w:b/>
          <w:bCs/>
        </w:rPr>
        <w:t>: (</w:t>
      </w:r>
      <w:r w:rsidRPr="094A2ECB">
        <w:rPr>
          <w:rFonts w:eastAsia="Times New Roman" w:cs="Times New Roman"/>
          <w:b/>
          <w:bCs/>
          <w:i/>
          <w:iCs/>
          <w:u w:val="single"/>
        </w:rPr>
        <w:t>Course Syllabus – Individual Instructor Specific</w:t>
      </w:r>
      <w:r w:rsidRPr="094A2ECB">
        <w:rPr>
          <w:rFonts w:eastAsia="Times New Roman" w:cs="Times New Roman"/>
          <w:b/>
          <w:bCs/>
        </w:rPr>
        <w:t>)</w:t>
      </w:r>
    </w:p>
    <w:p w14:paraId="43D6665F" w14:textId="77777777" w:rsidR="002D552E" w:rsidRPr="002D552E" w:rsidRDefault="002D552E" w:rsidP="094A2ECB">
      <w:pPr>
        <w:spacing w:after="0" w:line="240" w:lineRule="auto"/>
        <w:rPr>
          <w:rFonts w:eastAsia="Times New Roman" w:cs="Times New Roman"/>
          <w:b/>
          <w:bCs/>
        </w:rPr>
      </w:pPr>
    </w:p>
    <w:p w14:paraId="43D66660" w14:textId="39B550E0" w:rsidR="002D552E" w:rsidRPr="002D552E" w:rsidRDefault="002D552E" w:rsidP="42AFEB61">
      <w:pPr>
        <w:pStyle w:val="ListParagraph"/>
        <w:numPr>
          <w:ilvl w:val="0"/>
          <w:numId w:val="1"/>
        </w:numPr>
        <w:spacing w:after="0" w:line="240" w:lineRule="auto"/>
        <w:rPr>
          <w:rFonts w:eastAsia="Times New Roman" w:cs="Times New Roman"/>
        </w:rPr>
      </w:pPr>
      <w:r w:rsidRPr="094A2ECB">
        <w:rPr>
          <w:rFonts w:eastAsia="Times New Roman" w:cs="Times New Roman"/>
          <w:b/>
          <w:bCs/>
        </w:rPr>
        <w:t>CREDIT HOURS*:</w:t>
      </w:r>
      <w:r>
        <w:tab/>
      </w:r>
      <w:r w:rsidR="002E3DD7" w:rsidRPr="094A2ECB">
        <w:rPr>
          <w:rFonts w:eastAsia="Times New Roman" w:cs="Times New Roman"/>
        </w:rPr>
        <w:t>3</w:t>
      </w:r>
      <w:r>
        <w:tab/>
      </w:r>
      <w:r>
        <w:tab/>
      </w:r>
      <w:r>
        <w:tab/>
      </w:r>
      <w:r>
        <w:tab/>
      </w:r>
      <w:r w:rsidRPr="094A2ECB">
        <w:rPr>
          <w:rFonts w:eastAsia="Times New Roman" w:cs="Times New Roman"/>
          <w:b/>
          <w:bCs/>
        </w:rPr>
        <w:t>LECTURE HOURS*:</w:t>
      </w:r>
      <w:r w:rsidR="00FC2862" w:rsidRPr="094A2ECB">
        <w:rPr>
          <w:rFonts w:eastAsia="Times New Roman" w:cs="Times New Roman"/>
          <w:b/>
          <w:bCs/>
        </w:rPr>
        <w:t xml:space="preserve"> </w:t>
      </w:r>
      <w:r w:rsidR="002E3DD7" w:rsidRPr="094A2ECB">
        <w:rPr>
          <w:rFonts w:eastAsia="Times New Roman" w:cs="Times New Roman"/>
        </w:rPr>
        <w:t>2</w:t>
      </w:r>
      <w:r w:rsidR="3B6DFCCD" w:rsidRPr="094A2ECB">
        <w:rPr>
          <w:rFonts w:eastAsia="Times New Roman" w:cs="Times New Roman"/>
        </w:rPr>
        <w:t xml:space="preserve"> (25 hours)</w:t>
      </w:r>
    </w:p>
    <w:p w14:paraId="43D66661" w14:textId="7F476E84" w:rsidR="002D552E" w:rsidRPr="002D552E" w:rsidRDefault="002D552E" w:rsidP="42AFEB61">
      <w:pPr>
        <w:spacing w:after="0" w:line="240" w:lineRule="auto"/>
        <w:rPr>
          <w:rFonts w:eastAsia="Times New Roman" w:cs="Times New Roman"/>
          <w:b/>
          <w:bCs/>
        </w:rPr>
      </w:pPr>
      <w:r w:rsidRPr="002D552E">
        <w:rPr>
          <w:rFonts w:eastAsia="Times New Roman" w:cs="Times New Roman"/>
          <w:b/>
          <w:szCs w:val="24"/>
        </w:rPr>
        <w:tab/>
      </w:r>
      <w:r w:rsidRPr="42AFEB61">
        <w:rPr>
          <w:rFonts w:eastAsia="Times New Roman" w:cs="Times New Roman"/>
          <w:b/>
          <w:bCs/>
        </w:rPr>
        <w:t xml:space="preserve">LABORATORY HOURS*: </w:t>
      </w:r>
      <w:r w:rsidR="004A1117" w:rsidRPr="42AFEB61">
        <w:rPr>
          <w:rFonts w:eastAsia="Times New Roman" w:cs="Times New Roman"/>
          <w:b/>
          <w:bCs/>
        </w:rPr>
        <w:t xml:space="preserve"> </w:t>
      </w:r>
      <w:r w:rsidR="002E3DD7" w:rsidRPr="42AFEB61">
        <w:rPr>
          <w:rFonts w:eastAsia="Times New Roman" w:cs="Times New Roman"/>
        </w:rPr>
        <w:t xml:space="preserve">1 </w:t>
      </w:r>
      <w:r w:rsidRPr="094A2ECB">
        <w:rPr>
          <w:rFonts w:eastAsia="Times New Roman" w:cs="Times New Roman"/>
        </w:rPr>
        <w:t>(</w:t>
      </w:r>
      <w:r w:rsidR="3705831C" w:rsidRPr="094A2ECB">
        <w:rPr>
          <w:rFonts w:eastAsia="Times New Roman" w:cs="Times New Roman"/>
        </w:rPr>
        <w:t>37</w:t>
      </w:r>
      <w:r w:rsidR="64803D4B" w:rsidRPr="094A2ECB">
        <w:rPr>
          <w:rFonts w:eastAsia="Times New Roman" w:cs="Times New Roman"/>
        </w:rPr>
        <w:t>.</w:t>
      </w:r>
      <w:r w:rsidR="3705831C" w:rsidRPr="094A2ECB">
        <w:rPr>
          <w:rFonts w:eastAsia="Times New Roman" w:cs="Times New Roman"/>
        </w:rPr>
        <w:t xml:space="preserve">5 </w:t>
      </w:r>
      <w:r w:rsidR="002E3DD7" w:rsidRPr="42AFEB61">
        <w:rPr>
          <w:rFonts w:eastAsia="Times New Roman" w:cs="Times New Roman"/>
        </w:rPr>
        <w:t>clock</w:t>
      </w:r>
      <w:r w:rsidRPr="42AFEB61">
        <w:rPr>
          <w:rFonts w:eastAsia="Times New Roman" w:cs="Times New Roman"/>
        </w:rPr>
        <w:t xml:space="preserve"> hours)</w:t>
      </w:r>
      <w:r w:rsidRPr="002D552E">
        <w:rPr>
          <w:rFonts w:eastAsia="Times New Roman" w:cs="Times New Roman"/>
          <w:b/>
          <w:szCs w:val="24"/>
        </w:rPr>
        <w:tab/>
      </w:r>
      <w:r w:rsidRPr="42AFEB61">
        <w:rPr>
          <w:rFonts w:eastAsia="Times New Roman" w:cs="Times New Roman"/>
          <w:b/>
          <w:bCs/>
        </w:rPr>
        <w:t>OBSERVATION HOURS*:</w:t>
      </w:r>
      <w:r w:rsidR="4E944EA5" w:rsidRPr="42AFEB61">
        <w:rPr>
          <w:rFonts w:eastAsia="Times New Roman" w:cs="Times New Roman"/>
          <w:b/>
          <w:bCs/>
        </w:rPr>
        <w:t xml:space="preserve"> </w:t>
      </w:r>
      <w:r w:rsidR="4E944EA5" w:rsidRPr="094A2ECB">
        <w:rPr>
          <w:rFonts w:eastAsia="Times New Roman" w:cs="Times New Roman"/>
        </w:rPr>
        <w:t>0</w:t>
      </w:r>
    </w:p>
    <w:p w14:paraId="034DA165" w14:textId="72996BF9" w:rsidR="191AFFDF" w:rsidRDefault="000A0C30" w:rsidP="094A2ECB">
      <w:pPr>
        <w:spacing w:after="0" w:line="240" w:lineRule="auto"/>
        <w:ind w:firstLine="720"/>
        <w:rPr>
          <w:rFonts w:eastAsia="Times New Roman" w:cs="Times New Roman"/>
        </w:rPr>
      </w:pPr>
      <w:r w:rsidRPr="094A2ECB">
        <w:rPr>
          <w:rFonts w:eastAsia="Times New Roman" w:cs="Times New Roman"/>
          <w:b/>
          <w:bCs/>
        </w:rPr>
        <w:t>CLINICAL HOURS</w:t>
      </w:r>
      <w:r w:rsidR="191AFFDF" w:rsidRPr="094A2ECB">
        <w:rPr>
          <w:rFonts w:eastAsia="Times New Roman" w:cs="Times New Roman"/>
          <w:b/>
          <w:bCs/>
        </w:rPr>
        <w:t xml:space="preserve">: </w:t>
      </w:r>
      <w:r w:rsidR="191AFFDF" w:rsidRPr="094A2ECB">
        <w:rPr>
          <w:rFonts w:eastAsia="Times New Roman" w:cs="Times New Roman"/>
        </w:rPr>
        <w:t>0</w:t>
      </w:r>
    </w:p>
    <w:p w14:paraId="604DEE12" w14:textId="26E598FA" w:rsidR="191AFFDF" w:rsidRDefault="000A0C30" w:rsidP="000A0C30">
      <w:pPr>
        <w:spacing w:after="0" w:line="240" w:lineRule="auto"/>
        <w:ind w:firstLine="720"/>
        <w:rPr>
          <w:rFonts w:eastAsia="Times New Roman" w:cs="Times New Roman"/>
          <w:b/>
          <w:bCs/>
        </w:rPr>
      </w:pPr>
      <w:r>
        <w:rPr>
          <w:rFonts w:eastAsia="Times New Roman" w:cs="Times New Roman"/>
          <w:b/>
          <w:bCs/>
        </w:rPr>
        <w:t>TOTAL LAB/CLINICAL HOURS</w:t>
      </w:r>
      <w:r w:rsidR="191AFFDF" w:rsidRPr="0DBF2A59">
        <w:rPr>
          <w:rFonts w:eastAsia="Times New Roman" w:cs="Times New Roman"/>
          <w:b/>
          <w:bCs/>
        </w:rPr>
        <w:t xml:space="preserve">: </w:t>
      </w:r>
      <w:r>
        <w:rPr>
          <w:rFonts w:eastAsia="Times New Roman" w:cs="Times New Roman"/>
          <w:b/>
          <w:bCs/>
        </w:rPr>
        <w:t>(</w:t>
      </w:r>
      <w:r w:rsidR="075E69A1" w:rsidRPr="000A0C30">
        <w:rPr>
          <w:rFonts w:eastAsia="Times New Roman" w:cs="Times New Roman"/>
          <w:bCs/>
        </w:rPr>
        <w:t>37.5 clock hours</w:t>
      </w:r>
      <w:r>
        <w:rPr>
          <w:rFonts w:eastAsia="Times New Roman" w:cs="Times New Roman"/>
          <w:bCs/>
        </w:rPr>
        <w:t>)</w:t>
      </w:r>
      <w:r w:rsidR="075E69A1" w:rsidRPr="000A0C30">
        <w:rPr>
          <w:rFonts w:eastAsia="Times New Roman" w:cs="Times New Roman"/>
          <w:bCs/>
        </w:rPr>
        <w:t xml:space="preserve"> </w:t>
      </w:r>
    </w:p>
    <w:p w14:paraId="43D66662" w14:textId="77777777" w:rsidR="002D552E" w:rsidRPr="002D552E" w:rsidRDefault="002D552E" w:rsidP="002D552E">
      <w:pPr>
        <w:spacing w:after="0" w:line="240" w:lineRule="auto"/>
        <w:rPr>
          <w:rFonts w:eastAsia="Times New Roman" w:cs="Times New Roman"/>
          <w:b/>
          <w:szCs w:val="24"/>
        </w:rPr>
      </w:pPr>
    </w:p>
    <w:p w14:paraId="43D66663" w14:textId="7886332E" w:rsidR="002D552E" w:rsidRPr="001D40BA"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0C4CD907" w14:textId="77777777" w:rsidR="001D40BA" w:rsidRPr="001D40BA" w:rsidRDefault="001D40BA" w:rsidP="002D552E">
      <w:pPr>
        <w:spacing w:after="0" w:line="240" w:lineRule="auto"/>
        <w:rPr>
          <w:rFonts w:eastAsia="Times New Roman" w:cs="Times New Roman"/>
          <w:szCs w:val="24"/>
        </w:rPr>
      </w:pPr>
    </w:p>
    <w:p w14:paraId="43D66665" w14:textId="241BA008" w:rsidR="002D552E" w:rsidRPr="002E3DD7"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72E7F28" w14:textId="77777777" w:rsidR="002E3DD7" w:rsidRPr="002E3DD7" w:rsidRDefault="002E3DD7" w:rsidP="002E3DD7">
      <w:pPr>
        <w:pStyle w:val="ListParagraph"/>
        <w:rPr>
          <w:rFonts w:eastAsia="Times New Roman" w:cs="Times New Roman"/>
          <w:b/>
          <w:szCs w:val="24"/>
        </w:rPr>
      </w:pPr>
    </w:p>
    <w:p w14:paraId="43D66666" w14:textId="2552B94A" w:rsidR="002D552E" w:rsidRDefault="002E3DD7" w:rsidP="002E3DD7">
      <w:pPr>
        <w:pStyle w:val="ListParagraph"/>
        <w:spacing w:line="240" w:lineRule="auto"/>
        <w:rPr>
          <w:rFonts w:eastAsia="Times New Roman" w:cs="Times New Roman"/>
          <w:szCs w:val="24"/>
        </w:rPr>
      </w:pPr>
      <w:r w:rsidRPr="002E3DD7">
        <w:rPr>
          <w:rFonts w:eastAsia="Times New Roman" w:cs="Times New Roman"/>
          <w:szCs w:val="24"/>
        </w:rPr>
        <w:t>This course is designed to enable the student to explore integrative concepts in nursing and to assist the student in the transition from licensed practical nurse to registered nurse.</w:t>
      </w:r>
    </w:p>
    <w:p w14:paraId="719B141C" w14:textId="77777777" w:rsidR="002E3DD7" w:rsidRPr="002E3DD7" w:rsidRDefault="002E3DD7" w:rsidP="002E3DD7">
      <w:pPr>
        <w:pStyle w:val="ListParagraph"/>
        <w:spacing w:line="240" w:lineRule="auto"/>
        <w:rPr>
          <w:rFonts w:eastAsia="Times New Roman" w:cs="Times New Roman"/>
          <w:szCs w:val="24"/>
        </w:rPr>
      </w:pPr>
    </w:p>
    <w:p w14:paraId="43D66667" w14:textId="3A345C7D" w:rsidR="002D552E" w:rsidRPr="00D37C5B" w:rsidRDefault="002D552E" w:rsidP="002D552E">
      <w:pPr>
        <w:pStyle w:val="ListParagraph"/>
        <w:numPr>
          <w:ilvl w:val="0"/>
          <w:numId w:val="1"/>
        </w:numPr>
        <w:spacing w:after="0" w:line="240" w:lineRule="auto"/>
        <w:rPr>
          <w:rFonts w:eastAsia="Times New Roman" w:cs="Times New Roman"/>
          <w:b/>
          <w:szCs w:val="24"/>
        </w:rPr>
      </w:pPr>
      <w:r w:rsidRPr="00D37C5B">
        <w:rPr>
          <w:rFonts w:eastAsia="Times New Roman" w:cs="Times New Roman"/>
          <w:b/>
          <w:szCs w:val="24"/>
        </w:rPr>
        <w:t xml:space="preserve">LEARNING </w:t>
      </w:r>
      <w:r w:rsidR="00A138F5" w:rsidRPr="00D37C5B">
        <w:rPr>
          <w:rFonts w:eastAsia="Times New Roman" w:cs="Times New Roman"/>
          <w:b/>
          <w:szCs w:val="24"/>
        </w:rPr>
        <w:t>OUTCOMES</w:t>
      </w:r>
      <w:r w:rsidRPr="00D37C5B">
        <w:rPr>
          <w:rFonts w:eastAsia="Times New Roman" w:cs="Times New Roman"/>
          <w:b/>
          <w:szCs w:val="24"/>
        </w:rPr>
        <w:t>*:</w:t>
      </w:r>
    </w:p>
    <w:p w14:paraId="43D66668" w14:textId="77777777" w:rsidR="002D552E" w:rsidRPr="007033A4" w:rsidRDefault="002D552E" w:rsidP="002D552E">
      <w:pPr>
        <w:spacing w:after="0" w:line="240" w:lineRule="auto"/>
        <w:rPr>
          <w:rFonts w:eastAsia="Times New Roman" w:cs="Times New Roman"/>
          <w:b/>
          <w:szCs w:val="24"/>
          <w:highlight w:val="yellow"/>
        </w:rPr>
      </w:pPr>
    </w:p>
    <w:p w14:paraId="5CC4B241" w14:textId="02105BE8" w:rsidR="00B23EB2" w:rsidRPr="004219BB" w:rsidRDefault="00B23EB2" w:rsidP="00B23EB2">
      <w:pPr>
        <w:spacing w:after="0" w:line="240" w:lineRule="auto"/>
        <w:ind w:firstLine="720"/>
        <w:jc w:val="both"/>
        <w:rPr>
          <w:rFonts w:eastAsia="SimSun" w:cs="Mangal"/>
          <w:kern w:val="1"/>
          <w:szCs w:val="24"/>
          <w:lang w:eastAsia="zh-CN" w:bidi="hi-IN"/>
        </w:rPr>
      </w:pPr>
      <w:bookmarkStart w:id="0" w:name="_Hlk159411076"/>
      <w:r w:rsidRPr="004219BB">
        <w:rPr>
          <w:rFonts w:eastAsia="SimSun" w:cs="Mangal"/>
          <w:kern w:val="1"/>
          <w:szCs w:val="24"/>
          <w:lang w:eastAsia="zh-CN" w:bidi="hi-IN"/>
        </w:rPr>
        <w:t>At the completion of this course, the student should be able to:</w:t>
      </w:r>
    </w:p>
    <w:p w14:paraId="00F75550" w14:textId="77777777" w:rsidR="00B23EB2" w:rsidRPr="00053BC2" w:rsidRDefault="00B23EB2" w:rsidP="00B23EB2">
      <w:pPr>
        <w:pStyle w:val="ListParagraph"/>
        <w:numPr>
          <w:ilvl w:val="0"/>
          <w:numId w:val="2"/>
        </w:numPr>
        <w:spacing w:after="0" w:line="240" w:lineRule="auto"/>
        <w:rPr>
          <w:rFonts w:eastAsia="SimSun" w:cs="Mangal"/>
          <w:kern w:val="1"/>
          <w:szCs w:val="24"/>
          <w:lang w:eastAsia="zh-CN" w:bidi="hi-IN"/>
        </w:rPr>
      </w:pPr>
      <w:r w:rsidRPr="00053BC2">
        <w:rPr>
          <w:rFonts w:eastAsia="SimSun" w:cs="Mangal"/>
          <w:kern w:val="1"/>
          <w:szCs w:val="24"/>
          <w:lang w:eastAsia="zh-CN" w:bidi="hi-IN"/>
        </w:rPr>
        <w:t>Implement a plan of care effectively addressing patient cultural and spiritual needs.</w:t>
      </w:r>
    </w:p>
    <w:p w14:paraId="2B908E8B" w14:textId="77777777" w:rsidR="00B23EB2" w:rsidRPr="00053BC2" w:rsidRDefault="00B23EB2" w:rsidP="00B23EB2">
      <w:pPr>
        <w:pStyle w:val="ListParagraph"/>
        <w:numPr>
          <w:ilvl w:val="0"/>
          <w:numId w:val="2"/>
        </w:numPr>
        <w:spacing w:after="0" w:line="240" w:lineRule="auto"/>
        <w:rPr>
          <w:rFonts w:eastAsia="SimSun" w:cs="Mangal"/>
          <w:kern w:val="1"/>
          <w:szCs w:val="24"/>
          <w:lang w:eastAsia="zh-CN" w:bidi="hi-IN"/>
        </w:rPr>
      </w:pPr>
      <w:r w:rsidRPr="00053BC2">
        <w:rPr>
          <w:rFonts w:eastAsia="SimSun" w:cs="Mangal"/>
          <w:kern w:val="1"/>
          <w:szCs w:val="24"/>
          <w:lang w:eastAsia="zh-CN" w:bidi="hi-IN"/>
        </w:rPr>
        <w:t xml:space="preserve">Recognize the importance of nursing’s contribution as leader related </w:t>
      </w:r>
      <w:r>
        <w:rPr>
          <w:rFonts w:eastAsia="SimSun" w:cs="Mangal"/>
          <w:kern w:val="1"/>
          <w:szCs w:val="24"/>
          <w:lang w:eastAsia="zh-CN" w:bidi="hi-IN"/>
        </w:rPr>
        <w:t xml:space="preserve">to </w:t>
      </w:r>
      <w:r w:rsidRPr="00053BC2">
        <w:rPr>
          <w:rFonts w:eastAsia="SimSun" w:cs="Mangal"/>
          <w:kern w:val="1"/>
          <w:szCs w:val="24"/>
          <w:lang w:eastAsia="zh-CN" w:bidi="hi-IN"/>
        </w:rPr>
        <w:t>pharmacotherapeutic issues.</w:t>
      </w:r>
    </w:p>
    <w:p w14:paraId="63B931FA" w14:textId="30BBD98D" w:rsidR="00B23EB2" w:rsidRPr="00053BC2" w:rsidRDefault="00B23EB2" w:rsidP="00B23EB2">
      <w:pPr>
        <w:pStyle w:val="ListParagraph"/>
        <w:numPr>
          <w:ilvl w:val="0"/>
          <w:numId w:val="2"/>
        </w:numPr>
        <w:spacing w:after="0" w:line="240" w:lineRule="auto"/>
        <w:rPr>
          <w:rFonts w:eastAsia="SimSun" w:cs="Mangal"/>
          <w:kern w:val="1"/>
          <w:szCs w:val="24"/>
          <w:lang w:eastAsia="zh-CN" w:bidi="hi-IN"/>
        </w:rPr>
      </w:pPr>
      <w:r w:rsidRPr="00053BC2">
        <w:rPr>
          <w:rFonts w:eastAsia="SimSun" w:cs="Mangal"/>
          <w:kern w:val="1"/>
          <w:szCs w:val="24"/>
          <w:lang w:eastAsia="zh-CN" w:bidi="hi-IN"/>
        </w:rPr>
        <w:t>Identify learning techniques to promote professionalism in nursing and healthcare team</w:t>
      </w:r>
      <w:r>
        <w:rPr>
          <w:rFonts w:eastAsia="SimSun" w:cs="Mangal"/>
          <w:kern w:val="1"/>
          <w:szCs w:val="24"/>
          <w:lang w:eastAsia="zh-CN" w:bidi="hi-IN"/>
        </w:rPr>
        <w:t xml:space="preserve"> relationships.</w:t>
      </w:r>
      <w:r w:rsidRPr="00053BC2">
        <w:rPr>
          <w:rFonts w:eastAsia="SimSun" w:cs="Mangal"/>
          <w:kern w:val="1"/>
          <w:szCs w:val="24"/>
          <w:lang w:eastAsia="zh-CN" w:bidi="hi-IN"/>
        </w:rPr>
        <w:t xml:space="preserve">                                                                                                                                                                                                                                                                                                                                                                                          </w:t>
      </w:r>
    </w:p>
    <w:p w14:paraId="52BF3419" w14:textId="77777777" w:rsidR="00B23EB2" w:rsidRPr="00053BC2" w:rsidRDefault="00B23EB2" w:rsidP="00B23EB2">
      <w:pPr>
        <w:pStyle w:val="ListParagraph"/>
        <w:numPr>
          <w:ilvl w:val="0"/>
          <w:numId w:val="2"/>
        </w:numPr>
        <w:spacing w:after="0" w:line="240" w:lineRule="auto"/>
        <w:rPr>
          <w:rFonts w:eastAsia="SimSun" w:cs="Mangal"/>
          <w:kern w:val="1"/>
          <w:szCs w:val="24"/>
          <w:lang w:eastAsia="zh-CN" w:bidi="hi-IN"/>
        </w:rPr>
      </w:pPr>
      <w:r w:rsidRPr="00053BC2">
        <w:rPr>
          <w:rFonts w:eastAsia="SimSun" w:cs="Mangal"/>
          <w:kern w:val="1"/>
          <w:szCs w:val="24"/>
          <w:lang w:eastAsia="zh-CN" w:bidi="hi-IN"/>
        </w:rPr>
        <w:t>Utilize evidence-based practice in the development of clinical judgment nursing care</w:t>
      </w:r>
      <w:r w:rsidRPr="00053BC2">
        <w:rPr>
          <w:rFonts w:eastAsia="SimSun" w:cs="Mangal"/>
          <w:kern w:val="1"/>
          <w:szCs w:val="24"/>
          <w:lang w:eastAsia="zh-CN" w:bidi="hi-IN"/>
        </w:rPr>
        <w:tab/>
        <w:t xml:space="preserve">                           across the lifespan. </w:t>
      </w:r>
    </w:p>
    <w:p w14:paraId="0C3E9760" w14:textId="77777777" w:rsidR="00B23EB2" w:rsidRPr="00053BC2" w:rsidRDefault="00B23EB2" w:rsidP="00B23EB2">
      <w:pPr>
        <w:pStyle w:val="ListParagraph"/>
        <w:numPr>
          <w:ilvl w:val="0"/>
          <w:numId w:val="2"/>
        </w:numPr>
        <w:spacing w:after="0" w:line="240" w:lineRule="auto"/>
        <w:rPr>
          <w:rFonts w:eastAsia="SimSun" w:cs="Mangal"/>
          <w:kern w:val="1"/>
          <w:szCs w:val="24"/>
          <w:lang w:eastAsia="zh-CN" w:bidi="hi-IN"/>
        </w:rPr>
      </w:pPr>
      <w:r w:rsidRPr="00053BC2">
        <w:rPr>
          <w:rFonts w:eastAsia="SimSun" w:cs="Mangal"/>
          <w:kern w:val="1"/>
          <w:szCs w:val="24"/>
          <w:lang w:eastAsia="zh-CN" w:bidi="hi-IN"/>
        </w:rPr>
        <w:t>Apply national safety and quality standards to facilitate nursing skills and practice.</w:t>
      </w:r>
    </w:p>
    <w:p w14:paraId="5841EDC1" w14:textId="77777777" w:rsidR="00B23EB2" w:rsidRPr="00053BC2" w:rsidRDefault="00B23EB2" w:rsidP="00B23EB2">
      <w:pPr>
        <w:pStyle w:val="ListParagraph"/>
        <w:numPr>
          <w:ilvl w:val="0"/>
          <w:numId w:val="2"/>
        </w:numPr>
        <w:spacing w:after="0" w:line="240" w:lineRule="auto"/>
        <w:rPr>
          <w:rFonts w:eastAsia="SimSun" w:cs="Mangal"/>
          <w:kern w:val="1"/>
          <w:szCs w:val="24"/>
          <w:lang w:eastAsia="zh-CN" w:bidi="hi-IN"/>
        </w:rPr>
      </w:pPr>
      <w:r w:rsidRPr="00053BC2">
        <w:rPr>
          <w:rFonts w:eastAsia="SimSun" w:cs="Mangal"/>
          <w:kern w:val="1"/>
          <w:szCs w:val="24"/>
          <w:lang w:eastAsia="zh-CN" w:bidi="hi-IN"/>
        </w:rPr>
        <w:t xml:space="preserve">Demonstrate appropriate knowledge and usage of both communication and    information technologies. </w:t>
      </w:r>
    </w:p>
    <w:p w14:paraId="744AE192" w14:textId="77777777" w:rsidR="00B23EB2" w:rsidRPr="00053BC2" w:rsidRDefault="00B23EB2" w:rsidP="00B23EB2">
      <w:pPr>
        <w:pStyle w:val="ListParagraph"/>
        <w:numPr>
          <w:ilvl w:val="0"/>
          <w:numId w:val="2"/>
        </w:numPr>
        <w:spacing w:after="0" w:line="240" w:lineRule="auto"/>
        <w:rPr>
          <w:rFonts w:eastAsia="SimSun" w:cs="Mangal"/>
          <w:kern w:val="1"/>
          <w:szCs w:val="24"/>
          <w:lang w:eastAsia="zh-CN" w:bidi="hi-IN"/>
        </w:rPr>
      </w:pPr>
      <w:r w:rsidRPr="00053BC2">
        <w:rPr>
          <w:rFonts w:eastAsia="SimSun" w:cs="Mangal"/>
          <w:kern w:val="1"/>
          <w:szCs w:val="24"/>
          <w:lang w:eastAsia="zh-CN" w:bidi="hi-IN"/>
        </w:rPr>
        <w:t xml:space="preserve">Collaborate with interprofessional team members to plan and provide patient care   across the lifespan. </w:t>
      </w:r>
    </w:p>
    <w:p w14:paraId="77BCA3C8" w14:textId="77777777" w:rsidR="00B23EB2" w:rsidRPr="00053BC2" w:rsidRDefault="00B23EB2" w:rsidP="00B23EB2">
      <w:pPr>
        <w:pStyle w:val="ListParagraph"/>
        <w:numPr>
          <w:ilvl w:val="0"/>
          <w:numId w:val="2"/>
        </w:numPr>
        <w:spacing w:after="0" w:line="240" w:lineRule="auto"/>
        <w:rPr>
          <w:rFonts w:eastAsia="SimSun" w:cs="Mangal"/>
          <w:kern w:val="1"/>
          <w:szCs w:val="24"/>
          <w:lang w:eastAsia="zh-CN" w:bidi="hi-IN"/>
        </w:rPr>
      </w:pPr>
      <w:r w:rsidRPr="00053BC2">
        <w:rPr>
          <w:rFonts w:eastAsia="SimSun" w:cs="Mangal"/>
          <w:kern w:val="1"/>
          <w:szCs w:val="24"/>
          <w:lang w:eastAsia="zh-CN" w:bidi="hi-IN"/>
        </w:rPr>
        <w:t xml:space="preserve">Determine the impact of health disparities and social determinants as it relates to        patient outcomes. </w:t>
      </w:r>
    </w:p>
    <w:bookmarkEnd w:id="0"/>
    <w:p w14:paraId="74A0C5B7" w14:textId="0FFA727E" w:rsidR="00D37C5B" w:rsidRPr="002E3DD7" w:rsidRDefault="00D37C5B" w:rsidP="00B23EB2">
      <w:pPr>
        <w:spacing w:after="0" w:line="240" w:lineRule="auto"/>
        <w:rPr>
          <w:rFonts w:eastAsia="SimSun" w:cs="Mangal"/>
          <w:kern w:val="1"/>
          <w:szCs w:val="24"/>
          <w:lang w:eastAsia="zh-CN" w:bidi="hi-IN"/>
        </w:rPr>
      </w:pPr>
    </w:p>
    <w:p w14:paraId="3E1F9F51" w14:textId="70A67123" w:rsidR="007033A4" w:rsidRDefault="007033A4" w:rsidP="007033A4">
      <w:pPr>
        <w:spacing w:after="0" w:line="240" w:lineRule="auto"/>
        <w:rPr>
          <w:rFonts w:eastAsia="Times New Roman" w:cs="Times New Roman"/>
          <w:b/>
          <w:szCs w:val="24"/>
        </w:rPr>
      </w:pPr>
    </w:p>
    <w:p w14:paraId="21A993CE" w14:textId="77777777" w:rsidR="00286B03" w:rsidRDefault="00286B03" w:rsidP="007033A4">
      <w:pPr>
        <w:spacing w:after="0" w:line="240" w:lineRule="auto"/>
        <w:rPr>
          <w:rFonts w:eastAsia="Times New Roman" w:cs="Times New Roman"/>
          <w:b/>
          <w:szCs w:val="24"/>
        </w:rPr>
      </w:pPr>
    </w:p>
    <w:p w14:paraId="4B40599A" w14:textId="7875CD88" w:rsidR="002E3DD7" w:rsidRPr="00286B03" w:rsidRDefault="00931E3B" w:rsidP="00766C25">
      <w:pPr>
        <w:pStyle w:val="ListParagraph"/>
        <w:numPr>
          <w:ilvl w:val="0"/>
          <w:numId w:val="1"/>
        </w:numPr>
        <w:spacing w:after="0" w:line="240" w:lineRule="auto"/>
        <w:rPr>
          <w:rFonts w:eastAsia="Times New Roman" w:cs="Times New Roman"/>
          <w:szCs w:val="24"/>
        </w:rPr>
      </w:pPr>
      <w:r w:rsidRPr="00286B03">
        <w:rPr>
          <w:rFonts w:eastAsia="Times New Roman" w:cs="Times New Roman"/>
          <w:b/>
          <w:szCs w:val="24"/>
        </w:rPr>
        <w:t>ADOPTED TEXT(S)*:</w:t>
      </w:r>
      <w:r w:rsidRPr="00286B03">
        <w:rPr>
          <w:rFonts w:eastAsia="SimSun" w:cs="Mangal"/>
          <w:i/>
          <w:kern w:val="1"/>
          <w:szCs w:val="24"/>
          <w:lang w:eastAsia="zh-CN" w:bidi="hi-IN"/>
        </w:rPr>
        <w:t xml:space="preserve"> </w:t>
      </w:r>
    </w:p>
    <w:p w14:paraId="4A396F59" w14:textId="1666ECB0" w:rsidR="002E3DD7" w:rsidRDefault="002E3DD7" w:rsidP="002E3DD7">
      <w:pPr>
        <w:spacing w:after="0" w:line="240" w:lineRule="auto"/>
        <w:rPr>
          <w:rFonts w:eastAsia="Times New Roman" w:cs="Times New Roman"/>
          <w:szCs w:val="24"/>
        </w:rPr>
      </w:pPr>
      <w:r>
        <w:rPr>
          <w:rFonts w:eastAsia="Times New Roman" w:cs="Times New Roman"/>
          <w:szCs w:val="24"/>
        </w:rPr>
        <w:tab/>
        <w:t>Giddens, J.F. (202</w:t>
      </w:r>
      <w:r w:rsidR="00F220F9">
        <w:rPr>
          <w:rFonts w:eastAsia="Times New Roman" w:cs="Times New Roman"/>
          <w:szCs w:val="24"/>
        </w:rPr>
        <w:t>5</w:t>
      </w:r>
      <w:r>
        <w:rPr>
          <w:rFonts w:eastAsia="Times New Roman" w:cs="Times New Roman"/>
          <w:szCs w:val="24"/>
        </w:rPr>
        <w:t>).</w:t>
      </w:r>
      <w:r w:rsidRPr="002E3DD7">
        <w:rPr>
          <w:rFonts w:eastAsia="Times New Roman" w:cs="Times New Roman"/>
          <w:szCs w:val="24"/>
        </w:rPr>
        <w:t xml:space="preserve"> Concepts for nursing practice, (</w:t>
      </w:r>
      <w:r w:rsidR="00F220F9">
        <w:rPr>
          <w:rFonts w:eastAsia="Times New Roman" w:cs="Times New Roman"/>
          <w:szCs w:val="24"/>
        </w:rPr>
        <w:t>4th</w:t>
      </w:r>
      <w:r w:rsidRPr="002E3DD7">
        <w:rPr>
          <w:rFonts w:eastAsia="Times New Roman" w:cs="Times New Roman"/>
          <w:szCs w:val="24"/>
        </w:rPr>
        <w:t xml:space="preserve">), St. Louis:  Mosby/Elsevier.  </w:t>
      </w:r>
      <w:r>
        <w:rPr>
          <w:rFonts w:eastAsia="Times New Roman" w:cs="Times New Roman"/>
          <w:szCs w:val="24"/>
        </w:rPr>
        <w:tab/>
      </w:r>
      <w:r>
        <w:rPr>
          <w:rFonts w:eastAsia="Times New Roman" w:cs="Times New Roman"/>
          <w:szCs w:val="24"/>
        </w:rPr>
        <w:tab/>
      </w:r>
      <w:r>
        <w:rPr>
          <w:rFonts w:eastAsia="Times New Roman" w:cs="Times New Roman"/>
          <w:szCs w:val="24"/>
        </w:rPr>
        <w:tab/>
      </w:r>
      <w:r w:rsidRPr="002E3DD7">
        <w:rPr>
          <w:rFonts w:eastAsia="Times New Roman" w:cs="Times New Roman"/>
          <w:szCs w:val="24"/>
        </w:rPr>
        <w:t>ISBN:   97</w:t>
      </w:r>
      <w:r w:rsidR="00F220F9">
        <w:rPr>
          <w:rFonts w:eastAsia="Times New Roman" w:cs="Times New Roman"/>
          <w:szCs w:val="24"/>
        </w:rPr>
        <w:t>80323812085</w:t>
      </w:r>
    </w:p>
    <w:p w14:paraId="54F309F7" w14:textId="426ECBAE" w:rsidR="002E3DD7" w:rsidRPr="002E3DD7" w:rsidRDefault="00D37C5B" w:rsidP="00D37C5B">
      <w:pPr>
        <w:spacing w:after="0" w:line="240" w:lineRule="auto"/>
        <w:rPr>
          <w:rFonts w:eastAsia="Times New Roman" w:cs="Times New Roman"/>
          <w:szCs w:val="24"/>
        </w:rPr>
      </w:pPr>
      <w:r>
        <w:rPr>
          <w:rFonts w:ascii="Cambria" w:hAnsi="Cambria"/>
          <w:sz w:val="22"/>
        </w:rPr>
        <w:tab/>
      </w:r>
      <w:r w:rsidRPr="00597BC9">
        <w:rPr>
          <w:rFonts w:ascii="Cambria" w:hAnsi="Cambria"/>
          <w:sz w:val="22"/>
        </w:rPr>
        <w:t>Potter, P.A., Perry, A.G., Stockert, P.A. &amp; Hall, A.M. (</w:t>
      </w:r>
      <w:r>
        <w:rPr>
          <w:rFonts w:ascii="Cambria" w:hAnsi="Cambria"/>
          <w:sz w:val="22"/>
        </w:rPr>
        <w:t>2023</w:t>
      </w:r>
      <w:r w:rsidRPr="00597BC9">
        <w:rPr>
          <w:rFonts w:ascii="Cambria" w:hAnsi="Cambria"/>
          <w:sz w:val="22"/>
        </w:rPr>
        <w:t xml:space="preserve">). </w:t>
      </w:r>
      <w:r w:rsidRPr="00597BC9">
        <w:rPr>
          <w:rFonts w:ascii="Cambria" w:hAnsi="Cambria"/>
          <w:i/>
          <w:sz w:val="22"/>
        </w:rPr>
        <w:t>Fundamentals of nursing</w:t>
      </w:r>
      <w:r w:rsidRPr="00597BC9">
        <w:rPr>
          <w:rFonts w:ascii="Cambria" w:hAnsi="Cambria"/>
          <w:sz w:val="22"/>
        </w:rPr>
        <w:t xml:space="preserve"> (</w:t>
      </w:r>
      <w:r>
        <w:rPr>
          <w:rFonts w:ascii="Cambria" w:hAnsi="Cambria"/>
          <w:sz w:val="22"/>
        </w:rPr>
        <w:t>11</w:t>
      </w:r>
      <w:r w:rsidRPr="00597BC9">
        <w:rPr>
          <w:rFonts w:ascii="Cambria" w:hAnsi="Cambria"/>
          <w:sz w:val="22"/>
        </w:rPr>
        <w:t xml:space="preserve">th), St. </w:t>
      </w:r>
      <w:r>
        <w:rPr>
          <w:rFonts w:ascii="Cambria" w:hAnsi="Cambria"/>
          <w:sz w:val="22"/>
        </w:rPr>
        <w:tab/>
      </w:r>
      <w:r>
        <w:rPr>
          <w:rFonts w:ascii="Cambria" w:hAnsi="Cambria"/>
          <w:sz w:val="22"/>
        </w:rPr>
        <w:tab/>
      </w:r>
      <w:r w:rsidRPr="00597BC9">
        <w:rPr>
          <w:rFonts w:ascii="Cambria" w:hAnsi="Cambria"/>
          <w:sz w:val="22"/>
        </w:rPr>
        <w:t xml:space="preserve">Louis: Elsevier/Mosby.  ISBN: </w:t>
      </w:r>
      <w:r>
        <w:rPr>
          <w:rFonts w:ascii="Cambria" w:hAnsi="Cambria"/>
          <w:sz w:val="22"/>
        </w:rPr>
        <w:t>978</w:t>
      </w:r>
      <w:r w:rsidR="00286B03">
        <w:rPr>
          <w:rFonts w:ascii="Cambria" w:hAnsi="Cambria"/>
          <w:sz w:val="22"/>
        </w:rPr>
        <w:t>0323812160</w:t>
      </w:r>
    </w:p>
    <w:p w14:paraId="0AD23E4C" w14:textId="163BB044" w:rsidR="002E3DD7" w:rsidRPr="002E3DD7" w:rsidRDefault="002E3DD7" w:rsidP="002E3DD7">
      <w:pPr>
        <w:spacing w:after="0" w:line="240" w:lineRule="auto"/>
        <w:rPr>
          <w:rFonts w:eastAsia="Times New Roman" w:cs="Times New Roman"/>
          <w:szCs w:val="24"/>
        </w:rPr>
      </w:pPr>
      <w:r>
        <w:rPr>
          <w:rFonts w:eastAsia="Times New Roman" w:cs="Times New Roman"/>
          <w:szCs w:val="24"/>
        </w:rPr>
        <w:tab/>
      </w:r>
      <w:r w:rsidR="00D37C5B" w:rsidRPr="00AC7097">
        <w:rPr>
          <w:rFonts w:eastAsia="Times New Roman" w:cs="Times New Roman"/>
          <w:bCs/>
          <w:szCs w:val="24"/>
        </w:rPr>
        <w:t>Ignatavicius, D.D., &amp; Workman, M.L.  (202</w:t>
      </w:r>
      <w:r w:rsidR="00F220F9">
        <w:rPr>
          <w:rFonts w:eastAsia="Times New Roman" w:cs="Times New Roman"/>
          <w:bCs/>
          <w:szCs w:val="24"/>
        </w:rPr>
        <w:t>4</w:t>
      </w:r>
      <w:r w:rsidR="00D37C5B" w:rsidRPr="00AC7097">
        <w:rPr>
          <w:rFonts w:eastAsia="Times New Roman" w:cs="Times New Roman"/>
          <w:bCs/>
          <w:szCs w:val="24"/>
        </w:rPr>
        <w:t xml:space="preserve">). </w:t>
      </w:r>
      <w:r w:rsidR="00D37C5B" w:rsidRPr="00AC7097">
        <w:rPr>
          <w:rFonts w:eastAsia="Times New Roman" w:cs="Times New Roman"/>
          <w:bCs/>
          <w:i/>
          <w:szCs w:val="24"/>
        </w:rPr>
        <w:t xml:space="preserve">Medical-surgical nursing:  Concepts for </w:t>
      </w:r>
      <w:r w:rsidR="00D37C5B">
        <w:rPr>
          <w:rFonts w:eastAsia="Times New Roman" w:cs="Times New Roman"/>
          <w:bCs/>
          <w:i/>
          <w:szCs w:val="24"/>
        </w:rPr>
        <w:tab/>
      </w:r>
      <w:r w:rsidR="00D37C5B">
        <w:rPr>
          <w:rFonts w:eastAsia="Times New Roman" w:cs="Times New Roman"/>
          <w:bCs/>
          <w:i/>
          <w:szCs w:val="24"/>
        </w:rPr>
        <w:tab/>
      </w:r>
      <w:r w:rsidR="00D37C5B">
        <w:rPr>
          <w:rFonts w:eastAsia="Times New Roman" w:cs="Times New Roman"/>
          <w:bCs/>
          <w:i/>
          <w:szCs w:val="24"/>
        </w:rPr>
        <w:tab/>
      </w:r>
      <w:r w:rsidR="00D37C5B" w:rsidRPr="00AC7097">
        <w:rPr>
          <w:rFonts w:eastAsia="Times New Roman" w:cs="Times New Roman"/>
          <w:bCs/>
          <w:i/>
          <w:szCs w:val="24"/>
        </w:rPr>
        <w:t xml:space="preserve">interprofessional collaborative care </w:t>
      </w:r>
      <w:r w:rsidR="00D37C5B" w:rsidRPr="00AC7097">
        <w:rPr>
          <w:rFonts w:eastAsia="Times New Roman" w:cs="Times New Roman"/>
          <w:bCs/>
          <w:szCs w:val="24"/>
        </w:rPr>
        <w:t>(1</w:t>
      </w:r>
      <w:r w:rsidR="00F220F9">
        <w:rPr>
          <w:rFonts w:eastAsia="Times New Roman" w:cs="Times New Roman"/>
          <w:bCs/>
          <w:szCs w:val="24"/>
        </w:rPr>
        <w:t>1th</w:t>
      </w:r>
      <w:r w:rsidR="00D37C5B" w:rsidRPr="00AC7097">
        <w:rPr>
          <w:rFonts w:eastAsia="Times New Roman" w:cs="Times New Roman"/>
          <w:bCs/>
          <w:szCs w:val="24"/>
        </w:rPr>
        <w:t xml:space="preserve">), St. Louis: Elsevier.  ISBN:  </w:t>
      </w:r>
      <w:r w:rsidR="00D37C5B">
        <w:rPr>
          <w:rFonts w:eastAsia="Times New Roman" w:cs="Times New Roman"/>
          <w:bCs/>
          <w:szCs w:val="24"/>
        </w:rPr>
        <w:tab/>
      </w:r>
      <w:r w:rsidR="00D37C5B">
        <w:rPr>
          <w:rFonts w:eastAsia="Times New Roman" w:cs="Times New Roman"/>
          <w:bCs/>
          <w:szCs w:val="24"/>
        </w:rPr>
        <w:tab/>
      </w:r>
      <w:r w:rsidR="00D37C5B">
        <w:rPr>
          <w:rFonts w:eastAsia="Times New Roman" w:cs="Times New Roman"/>
          <w:bCs/>
          <w:szCs w:val="24"/>
        </w:rPr>
        <w:tab/>
      </w:r>
      <w:r w:rsidR="00D37C5B">
        <w:rPr>
          <w:rFonts w:eastAsia="Times New Roman" w:cs="Times New Roman"/>
          <w:bCs/>
          <w:szCs w:val="24"/>
        </w:rPr>
        <w:tab/>
      </w:r>
      <w:r w:rsidR="00D37C5B" w:rsidRPr="00AC7097">
        <w:rPr>
          <w:rFonts w:eastAsia="Times New Roman" w:cs="Times New Roman"/>
          <w:bCs/>
          <w:szCs w:val="24"/>
        </w:rPr>
        <w:t>978</w:t>
      </w:r>
      <w:r w:rsidR="00286B03">
        <w:rPr>
          <w:rFonts w:eastAsia="Times New Roman" w:cs="Times New Roman"/>
          <w:bCs/>
          <w:szCs w:val="24"/>
        </w:rPr>
        <w:t>0</w:t>
      </w:r>
      <w:r w:rsidR="00F220F9">
        <w:rPr>
          <w:rFonts w:eastAsia="Times New Roman" w:cs="Times New Roman"/>
          <w:bCs/>
          <w:szCs w:val="24"/>
        </w:rPr>
        <w:t>0323931274</w:t>
      </w:r>
    </w:p>
    <w:p w14:paraId="43D6666A" w14:textId="5DD3A5FB" w:rsidR="002D552E" w:rsidRDefault="002E3DD7" w:rsidP="002E3DD7">
      <w:pPr>
        <w:spacing w:after="0" w:line="240" w:lineRule="auto"/>
        <w:rPr>
          <w:rFonts w:eastAsia="Times New Roman" w:cs="Times New Roman"/>
          <w:szCs w:val="24"/>
        </w:rPr>
      </w:pPr>
      <w:r>
        <w:rPr>
          <w:rFonts w:eastAsia="Times New Roman" w:cs="Times New Roman"/>
          <w:szCs w:val="24"/>
        </w:rPr>
        <w:tab/>
      </w:r>
      <w:r w:rsidR="00D37C5B" w:rsidRPr="00C76BEC">
        <w:rPr>
          <w:rFonts w:eastAsia="Times New Roman" w:cs="Times New Roman"/>
          <w:szCs w:val="24"/>
        </w:rPr>
        <w:t>Lilley, L.L.</w:t>
      </w:r>
      <w:r w:rsidR="00D37C5B">
        <w:rPr>
          <w:rFonts w:eastAsia="Times New Roman" w:cs="Times New Roman"/>
          <w:szCs w:val="24"/>
        </w:rPr>
        <w:t>,</w:t>
      </w:r>
      <w:r w:rsidR="00D37C5B" w:rsidRPr="00C76BEC">
        <w:rPr>
          <w:rFonts w:eastAsia="Times New Roman" w:cs="Times New Roman"/>
          <w:szCs w:val="24"/>
        </w:rPr>
        <w:t xml:space="preserve"> Collins, S.R.</w:t>
      </w:r>
      <w:r w:rsidR="00D37C5B">
        <w:rPr>
          <w:rFonts w:eastAsia="Times New Roman" w:cs="Times New Roman"/>
          <w:szCs w:val="24"/>
        </w:rPr>
        <w:t>, &amp; Snyder, J.S.</w:t>
      </w:r>
      <w:r w:rsidR="00D37C5B" w:rsidRPr="00C76BEC">
        <w:rPr>
          <w:rFonts w:eastAsia="Times New Roman" w:cs="Times New Roman"/>
          <w:szCs w:val="24"/>
        </w:rPr>
        <w:t xml:space="preserve">  (20</w:t>
      </w:r>
      <w:r w:rsidR="00D37C5B">
        <w:rPr>
          <w:rFonts w:eastAsia="Times New Roman" w:cs="Times New Roman"/>
          <w:szCs w:val="24"/>
        </w:rPr>
        <w:t>23</w:t>
      </w:r>
      <w:r w:rsidR="00D37C5B" w:rsidRPr="00C76BEC">
        <w:rPr>
          <w:rFonts w:eastAsia="Times New Roman" w:cs="Times New Roman"/>
          <w:szCs w:val="24"/>
        </w:rPr>
        <w:t xml:space="preserve">). Pharmacology and the nursing process, </w:t>
      </w:r>
      <w:r w:rsidR="00D37C5B">
        <w:rPr>
          <w:rFonts w:eastAsia="Times New Roman" w:cs="Times New Roman"/>
          <w:szCs w:val="24"/>
        </w:rPr>
        <w:tab/>
      </w:r>
      <w:r w:rsidR="00D37C5B">
        <w:rPr>
          <w:rFonts w:eastAsia="Times New Roman" w:cs="Times New Roman"/>
          <w:szCs w:val="24"/>
        </w:rPr>
        <w:tab/>
      </w:r>
      <w:r w:rsidR="00D37C5B" w:rsidRPr="00C76BEC">
        <w:rPr>
          <w:rFonts w:eastAsia="Times New Roman" w:cs="Times New Roman"/>
          <w:szCs w:val="24"/>
        </w:rPr>
        <w:t>(</w:t>
      </w:r>
      <w:r w:rsidR="00D37C5B">
        <w:rPr>
          <w:rFonts w:eastAsia="Times New Roman" w:cs="Times New Roman"/>
          <w:szCs w:val="24"/>
        </w:rPr>
        <w:t>10</w:t>
      </w:r>
      <w:r w:rsidR="00D37C5B" w:rsidRPr="00C76BEC">
        <w:rPr>
          <w:rFonts w:eastAsia="Times New Roman" w:cs="Times New Roman"/>
          <w:szCs w:val="24"/>
        </w:rPr>
        <w:t xml:space="preserve">th), St. Louis: Mosby/Elsevier.  ISBN: </w:t>
      </w:r>
      <w:r w:rsidR="00D37C5B">
        <w:rPr>
          <w:rFonts w:eastAsia="Times New Roman" w:cs="Times New Roman"/>
          <w:szCs w:val="24"/>
        </w:rPr>
        <w:t>978</w:t>
      </w:r>
      <w:r w:rsidR="00286B03">
        <w:rPr>
          <w:rFonts w:eastAsia="Times New Roman" w:cs="Times New Roman"/>
          <w:szCs w:val="24"/>
        </w:rPr>
        <w:t>0323827997</w:t>
      </w:r>
    </w:p>
    <w:p w14:paraId="1B938074" w14:textId="04B395B2" w:rsidR="00286B03" w:rsidRDefault="00286B03" w:rsidP="002E3DD7">
      <w:pPr>
        <w:spacing w:after="0" w:line="240" w:lineRule="auto"/>
        <w:rPr>
          <w:rFonts w:eastAsia="Times New Roman" w:cs="Times New Roman"/>
          <w:szCs w:val="24"/>
        </w:rPr>
      </w:pPr>
    </w:p>
    <w:p w14:paraId="78827FF0" w14:textId="6EA5779C" w:rsidR="00286B03" w:rsidRPr="002E3DD7" w:rsidRDefault="00286B03" w:rsidP="002E3DD7">
      <w:pPr>
        <w:spacing w:after="0" w:line="240" w:lineRule="auto"/>
        <w:rPr>
          <w:rFonts w:eastAsia="Times New Roman" w:cs="Times New Roman"/>
          <w:szCs w:val="24"/>
        </w:rPr>
      </w:pPr>
      <w:r>
        <w:rPr>
          <w:rFonts w:eastAsia="Times New Roman" w:cs="Times New Roman"/>
          <w:szCs w:val="24"/>
        </w:rPr>
        <w:tab/>
      </w:r>
      <w:r w:rsidRPr="00A60346">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2A662391" w:rsidR="002D552E" w:rsidRPr="002D552E" w:rsidRDefault="002D552E" w:rsidP="094A2ECB">
      <w:pPr>
        <w:pStyle w:val="ListParagraph"/>
        <w:numPr>
          <w:ilvl w:val="0"/>
          <w:numId w:val="1"/>
        </w:numPr>
        <w:spacing w:after="0" w:line="240" w:lineRule="auto"/>
        <w:rPr>
          <w:rFonts w:eastAsia="Times New Roman" w:cs="Times New Roman"/>
          <w:b/>
          <w:bCs/>
        </w:rPr>
      </w:pPr>
      <w:r w:rsidRPr="094A2ECB">
        <w:rPr>
          <w:rFonts w:eastAsia="Times New Roman" w:cs="Times New Roman"/>
          <w:b/>
          <w:bCs/>
        </w:rPr>
        <w:t xml:space="preserve">OTHER REQUIRED MATERIALS: (SEE APPENDIX C FOR TECHNOLOGY REQUEST </w:t>
      </w:r>
      <w:r w:rsidR="007968C5" w:rsidRPr="094A2ECB">
        <w:rPr>
          <w:rFonts w:eastAsia="Times New Roman" w:cs="Times New Roman"/>
          <w:b/>
          <w:bCs/>
        </w:rPr>
        <w:t>FORM) *</w:t>
      </w:r>
      <w:r w:rsidRPr="094A2ECB">
        <w:rPr>
          <w:rFonts w:eastAsia="Times New Roman" w:cs="Times New Roman"/>
          <w:b/>
          <w:bCs/>
        </w:rPr>
        <w:t>*</w:t>
      </w:r>
    </w:p>
    <w:p w14:paraId="43D66671" w14:textId="02ABD35A" w:rsidR="002D552E" w:rsidRDefault="002D552E" w:rsidP="002D552E">
      <w:pPr>
        <w:spacing w:after="0" w:line="240" w:lineRule="auto"/>
        <w:rPr>
          <w:rFonts w:eastAsia="Times New Roman" w:cs="Times New Roman"/>
          <w:b/>
          <w:szCs w:val="24"/>
        </w:rPr>
      </w:pPr>
    </w:p>
    <w:p w14:paraId="14D7E7BC" w14:textId="21C0D919" w:rsidR="002E3DD7" w:rsidRDefault="002E3DD7" w:rsidP="002D552E">
      <w:pPr>
        <w:spacing w:after="0" w:line="240" w:lineRule="auto"/>
        <w:rPr>
          <w:rFonts w:eastAsia="Times New Roman" w:cs="Times New Roman"/>
          <w:szCs w:val="24"/>
        </w:rPr>
      </w:pPr>
      <w:r>
        <w:rPr>
          <w:rFonts w:eastAsia="Times New Roman" w:cs="Times New Roman"/>
          <w:b/>
          <w:szCs w:val="24"/>
        </w:rPr>
        <w:tab/>
      </w:r>
      <w:r w:rsidRPr="002E3DD7">
        <w:rPr>
          <w:rFonts w:eastAsia="Times New Roman" w:cs="Times New Roman"/>
          <w:szCs w:val="24"/>
        </w:rPr>
        <w:t xml:space="preserve">Required learning resources from program eBook package may be utilized.  Elsevier’s </w:t>
      </w:r>
      <w:r>
        <w:rPr>
          <w:rFonts w:eastAsia="Times New Roman" w:cs="Times New Roman"/>
          <w:szCs w:val="24"/>
        </w:rPr>
        <w:tab/>
      </w:r>
      <w:r w:rsidRPr="002E3DD7">
        <w:rPr>
          <w:rFonts w:eastAsia="Times New Roman" w:cs="Times New Roman"/>
          <w:szCs w:val="24"/>
        </w:rPr>
        <w:t xml:space="preserve">Nursing Concepts Online 2.0.  Desktop, laptop, or tablet running Windows 7 or later or </w:t>
      </w:r>
      <w:r>
        <w:rPr>
          <w:rFonts w:eastAsia="Times New Roman" w:cs="Times New Roman"/>
          <w:szCs w:val="24"/>
        </w:rPr>
        <w:tab/>
      </w:r>
      <w:r w:rsidRPr="002E3DD7">
        <w:rPr>
          <w:rFonts w:eastAsia="Times New Roman" w:cs="Times New Roman"/>
          <w:szCs w:val="24"/>
        </w:rPr>
        <w:t xml:space="preserve">Mac OSX 10.8 or later. Not all required software/online resources will work with </w:t>
      </w:r>
      <w:r>
        <w:rPr>
          <w:rFonts w:eastAsia="Times New Roman" w:cs="Times New Roman"/>
          <w:szCs w:val="24"/>
        </w:rPr>
        <w:tab/>
      </w:r>
      <w:r w:rsidRPr="002E3DD7">
        <w:rPr>
          <w:rFonts w:eastAsia="Times New Roman" w:cs="Times New Roman"/>
          <w:szCs w:val="24"/>
        </w:rPr>
        <w:t>Android or iOS.  High speed internet must be accessible.</w:t>
      </w:r>
    </w:p>
    <w:p w14:paraId="7E5551D2" w14:textId="77777777" w:rsidR="002E3DD7" w:rsidRPr="002E3DD7" w:rsidRDefault="002E3DD7" w:rsidP="002D552E">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677FE26E" w:rsidR="002D552E" w:rsidRDefault="002D552E" w:rsidP="002D552E">
      <w:pPr>
        <w:spacing w:after="0" w:line="240" w:lineRule="auto"/>
        <w:rPr>
          <w:rFonts w:eastAsia="Times New Roman" w:cs="Times New Roman"/>
          <w:b/>
          <w:szCs w:val="24"/>
        </w:rPr>
      </w:pPr>
    </w:p>
    <w:p w14:paraId="560D16F0" w14:textId="187EC4A8" w:rsidR="004A1117" w:rsidRPr="003D2464" w:rsidRDefault="002E3DD7" w:rsidP="004A1117">
      <w:pPr>
        <w:tabs>
          <w:tab w:val="left" w:pos="-1186"/>
          <w:tab w:val="left" w:pos="-720"/>
          <w:tab w:val="left" w:pos="0"/>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rPr>
          <w:rFonts w:ascii="Cambria" w:hAnsi="Cambria"/>
          <w:sz w:val="22"/>
        </w:rPr>
      </w:pPr>
      <w:r>
        <w:rPr>
          <w:rFonts w:eastAsia="Times New Roman" w:cs="Times New Roman"/>
          <w:b/>
          <w:szCs w:val="24"/>
        </w:rPr>
        <w:tab/>
      </w:r>
      <w:r w:rsidRPr="002E3DD7">
        <w:rPr>
          <w:rFonts w:eastAsia="Times New Roman" w:cs="Times New Roman"/>
          <w:szCs w:val="24"/>
        </w:rPr>
        <w:t>To satisfactorily complete this course, the student must achieve a grade of C or above</w:t>
      </w:r>
      <w:r w:rsidR="004A1117">
        <w:rPr>
          <w:rFonts w:eastAsia="Times New Roman" w:cs="Times New Roman"/>
          <w:szCs w:val="24"/>
        </w:rPr>
        <w:t xml:space="preserve"> </w:t>
      </w:r>
      <w:r w:rsidR="004A1117">
        <w:rPr>
          <w:rFonts w:eastAsia="Times New Roman" w:cs="Times New Roman"/>
          <w:szCs w:val="24"/>
        </w:rPr>
        <w:tab/>
      </w:r>
      <w:r w:rsidR="004A1117" w:rsidRPr="003D2464">
        <w:rPr>
          <w:rFonts w:ascii="Cambria" w:hAnsi="Cambria"/>
          <w:sz w:val="22"/>
        </w:rPr>
        <w:t>according to the following system:</w:t>
      </w:r>
    </w:p>
    <w:p w14:paraId="4F35CCC7" w14:textId="77777777" w:rsidR="004A1117" w:rsidRPr="005617A1" w:rsidRDefault="004A1117" w:rsidP="004A1117">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93 – 100 </w:t>
      </w:r>
      <w:r>
        <w:rPr>
          <w:rFonts w:ascii="Cambria" w:hAnsi="Cambria"/>
          <w:sz w:val="22"/>
        </w:rPr>
        <w:tab/>
      </w:r>
      <w:r w:rsidRPr="005617A1">
        <w:rPr>
          <w:rFonts w:ascii="Cambria" w:hAnsi="Cambria"/>
          <w:sz w:val="22"/>
        </w:rPr>
        <w:t>=</w:t>
      </w:r>
      <w:r w:rsidRPr="005617A1">
        <w:rPr>
          <w:rFonts w:ascii="Cambria" w:hAnsi="Cambria"/>
          <w:sz w:val="22"/>
        </w:rPr>
        <w:tab/>
        <w:t>A</w:t>
      </w:r>
    </w:p>
    <w:p w14:paraId="5DFDD518" w14:textId="4E59C446" w:rsidR="004A1117" w:rsidRPr="005617A1" w:rsidRDefault="004A1117" w:rsidP="004A1117">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85 </w:t>
      </w:r>
      <w:r w:rsidR="00286B03" w:rsidRPr="005617A1">
        <w:rPr>
          <w:rFonts w:ascii="Cambria" w:hAnsi="Cambria"/>
          <w:sz w:val="22"/>
        </w:rPr>
        <w:t>– 92</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B</w:t>
      </w:r>
    </w:p>
    <w:p w14:paraId="6DE4DBA6" w14:textId="6E4917A5" w:rsidR="004A1117" w:rsidRPr="005617A1" w:rsidRDefault="004A1117" w:rsidP="004A1117">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80 </w:t>
      </w:r>
      <w:r w:rsidR="00286B03" w:rsidRPr="005617A1">
        <w:rPr>
          <w:rFonts w:ascii="Cambria" w:hAnsi="Cambria"/>
          <w:sz w:val="22"/>
        </w:rPr>
        <w:t>– 84</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C</w:t>
      </w:r>
    </w:p>
    <w:p w14:paraId="7FCB58A6" w14:textId="43295328" w:rsidR="004A1117" w:rsidRPr="005617A1" w:rsidRDefault="004A1117" w:rsidP="004A1117">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72 </w:t>
      </w:r>
      <w:r w:rsidR="00286B03" w:rsidRPr="005617A1">
        <w:rPr>
          <w:rFonts w:ascii="Cambria" w:hAnsi="Cambria"/>
          <w:sz w:val="22"/>
        </w:rPr>
        <w:t>– 79</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D</w:t>
      </w:r>
    </w:p>
    <w:p w14:paraId="11BD685A" w14:textId="69633E2C" w:rsidR="007033A4" w:rsidRDefault="004A1117" w:rsidP="007033A4">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Pr>
          <w:rFonts w:ascii="Cambria" w:hAnsi="Cambria"/>
          <w:sz w:val="22"/>
        </w:rPr>
        <w:t xml:space="preserve"> </w:t>
      </w:r>
      <w:r>
        <w:rPr>
          <w:rFonts w:ascii="Cambria" w:hAnsi="Cambria"/>
          <w:sz w:val="22"/>
        </w:rPr>
        <w:tab/>
      </w:r>
      <w:r w:rsidRPr="005617A1">
        <w:rPr>
          <w:rFonts w:ascii="Cambria" w:hAnsi="Cambria"/>
          <w:sz w:val="22"/>
        </w:rPr>
        <w:t xml:space="preserve">0 </w:t>
      </w:r>
      <w:r w:rsidR="00286B03" w:rsidRPr="005617A1">
        <w:rPr>
          <w:rFonts w:ascii="Cambria" w:hAnsi="Cambria"/>
          <w:sz w:val="22"/>
        </w:rPr>
        <w:t>– 71</w:t>
      </w:r>
      <w:r>
        <w:rPr>
          <w:rFonts w:ascii="Cambria" w:hAnsi="Cambria"/>
          <w:sz w:val="22"/>
        </w:rPr>
        <w:t>.99</w:t>
      </w:r>
      <w:r w:rsidRPr="005617A1">
        <w:rPr>
          <w:rFonts w:ascii="Cambria" w:hAnsi="Cambria"/>
          <w:sz w:val="22"/>
        </w:rPr>
        <w:tab/>
        <w:t>=</w:t>
      </w:r>
      <w:r w:rsidRPr="005617A1">
        <w:rPr>
          <w:rFonts w:ascii="Cambria" w:hAnsi="Cambria"/>
          <w:sz w:val="22"/>
        </w:rPr>
        <w:tab/>
        <w:t>F</w:t>
      </w:r>
    </w:p>
    <w:p w14:paraId="56C34859" w14:textId="77777777" w:rsidR="007033A4" w:rsidRDefault="007033A4" w:rsidP="007033A4">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eastAsia="Times New Roman" w:cs="Times New Roman"/>
          <w:szCs w:val="24"/>
        </w:rPr>
      </w:pPr>
    </w:p>
    <w:p w14:paraId="43D6667F" w14:textId="0663F971" w:rsidR="002D552E" w:rsidRPr="007033A4" w:rsidRDefault="002D552E" w:rsidP="007033A4">
      <w:pPr>
        <w:pStyle w:val="ListParagraph"/>
        <w:numPr>
          <w:ilvl w:val="0"/>
          <w:numId w:val="1"/>
        </w:numPr>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rPr>
          <w:rFonts w:ascii="Cambria" w:hAnsi="Cambria"/>
          <w:sz w:val="22"/>
        </w:rPr>
      </w:pPr>
      <w:r w:rsidRPr="007033A4">
        <w:rPr>
          <w:rFonts w:eastAsia="Times New Roman" w:cs="Times New Roman"/>
          <w:b/>
          <w:szCs w:val="24"/>
        </w:rPr>
        <w:t>GRADING PROCEDURES OR ASSESSMENTS: (</w:t>
      </w:r>
      <w:r w:rsidRPr="007033A4">
        <w:rPr>
          <w:rFonts w:eastAsia="Times New Roman" w:cs="Times New Roman"/>
          <w:b/>
          <w:i/>
          <w:szCs w:val="24"/>
          <w:u w:val="single"/>
        </w:rPr>
        <w:t xml:space="preserve">Course Syllabus – Individual </w:t>
      </w:r>
      <w:r w:rsidR="009F25AE" w:rsidRPr="007033A4">
        <w:rPr>
          <w:rFonts w:eastAsia="Times New Roman" w:cs="Times New Roman"/>
          <w:b/>
          <w:i/>
          <w:szCs w:val="24"/>
        </w:rPr>
        <w:tab/>
      </w:r>
      <w:r w:rsidRPr="007033A4">
        <w:rPr>
          <w:rFonts w:eastAsia="Times New Roman" w:cs="Times New Roman"/>
          <w:b/>
          <w:i/>
          <w:szCs w:val="24"/>
          <w:u w:val="single"/>
        </w:rPr>
        <w:t>Instructor Specific)</w:t>
      </w:r>
    </w:p>
    <w:p w14:paraId="650A1CCC" w14:textId="4C647FD6" w:rsidR="002E3DD7" w:rsidRDefault="002E3DD7" w:rsidP="002E3DD7">
      <w:pPr>
        <w:pStyle w:val="ListParagraph"/>
        <w:widowControl w:val="0"/>
        <w:autoSpaceDE w:val="0"/>
        <w:autoSpaceDN w:val="0"/>
        <w:adjustRightInd w:val="0"/>
        <w:spacing w:after="0" w:line="240" w:lineRule="auto"/>
        <w:rPr>
          <w:rFonts w:eastAsia="Times New Roman" w:cs="Times New Roman"/>
          <w:b/>
          <w:szCs w:val="24"/>
        </w:rPr>
      </w:pPr>
    </w:p>
    <w:p w14:paraId="0572C45C" w14:textId="77777777"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r w:rsidRPr="002E3DD7">
        <w:rPr>
          <w:rFonts w:eastAsia="Times New Roman" w:cs="Times New Roman"/>
          <w:szCs w:val="24"/>
        </w:rPr>
        <w:t>Theory is evaluated by written examination and assessment of completeness and accuracy of any additional class related work, including essays, worksheets, quizzes and class participation, as determined by the classroom instructor.  Students will be informed of the specific evaluation tools and their respective percentage values on the first day of class.</w:t>
      </w:r>
    </w:p>
    <w:p w14:paraId="1EE3B5EC" w14:textId="77777777"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p>
    <w:p w14:paraId="20C6D090" w14:textId="31B6AF80"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r w:rsidRPr="002E3DD7">
        <w:rPr>
          <w:rFonts w:eastAsia="Times New Roman" w:cs="Times New Roman"/>
          <w:szCs w:val="24"/>
        </w:rPr>
        <w:t xml:space="preserve">Skills Evaluation:  If unsuccessful in 3 attempts, or unsuccessful completion of a skill within a </w:t>
      </w:r>
      <w:r w:rsidR="00286B03" w:rsidRPr="002E3DD7">
        <w:rPr>
          <w:rFonts w:eastAsia="Times New Roman" w:cs="Times New Roman"/>
          <w:szCs w:val="24"/>
        </w:rPr>
        <w:t>10-day</w:t>
      </w:r>
      <w:r w:rsidRPr="002E3DD7">
        <w:rPr>
          <w:rFonts w:eastAsia="Times New Roman" w:cs="Times New Roman"/>
          <w:szCs w:val="24"/>
        </w:rPr>
        <w:t xml:space="preserve"> period, an unsatisfactory lab performance will result.  Unsatisfactory lab performance at the completion of the semester will result in the grade of “F” for the entire course regardless of the theory grade.</w:t>
      </w:r>
    </w:p>
    <w:p w14:paraId="063BF623" w14:textId="77777777"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p>
    <w:p w14:paraId="455E5DAD" w14:textId="77777777"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r w:rsidRPr="002E3DD7">
        <w:rPr>
          <w:rFonts w:eastAsia="Times New Roman" w:cs="Times New Roman"/>
          <w:szCs w:val="24"/>
        </w:rPr>
        <w:t>A satisfactory must be achieved in all skills lab and simulation lab objectives.  An unsatisfactory will result in a grade of “F” for the course.</w:t>
      </w:r>
    </w:p>
    <w:p w14:paraId="503CA231" w14:textId="77777777"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p>
    <w:p w14:paraId="412724AB" w14:textId="77777777"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r w:rsidRPr="002E3DD7">
        <w:rPr>
          <w:rFonts w:eastAsia="Times New Roman" w:cs="Times New Roman"/>
          <w:szCs w:val="24"/>
        </w:rPr>
        <w:t>Instructors reserve the right to modify timing of exams or presentation of units to meet class objectives.</w:t>
      </w:r>
    </w:p>
    <w:p w14:paraId="15B6790F" w14:textId="77777777"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p>
    <w:p w14:paraId="32C53987" w14:textId="679DE1C7"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r w:rsidRPr="002E3DD7">
        <w:rPr>
          <w:rFonts w:eastAsia="Times New Roman" w:cs="Times New Roman"/>
          <w:szCs w:val="24"/>
        </w:rPr>
        <w:t>Students who will be tardy or unable to attend any scheduled learning experience are expected to personally notify the faculty responsible for the learning experienc</w:t>
      </w:r>
      <w:r>
        <w:rPr>
          <w:rFonts w:eastAsia="Times New Roman" w:cs="Times New Roman"/>
          <w:szCs w:val="24"/>
        </w:rPr>
        <w:t>e before the scheduled session.</w:t>
      </w:r>
    </w:p>
    <w:p w14:paraId="2FC5E3CB" w14:textId="77777777" w:rsidR="00E35AC2" w:rsidRDefault="00E35AC2" w:rsidP="002E3DD7">
      <w:pPr>
        <w:pStyle w:val="ListParagraph"/>
        <w:widowControl w:val="0"/>
        <w:autoSpaceDE w:val="0"/>
        <w:autoSpaceDN w:val="0"/>
        <w:adjustRightInd w:val="0"/>
        <w:spacing w:after="0" w:line="240" w:lineRule="auto"/>
        <w:rPr>
          <w:rFonts w:eastAsia="Times New Roman" w:cs="Times New Roman"/>
          <w:szCs w:val="24"/>
        </w:rPr>
      </w:pPr>
    </w:p>
    <w:p w14:paraId="5DF17695" w14:textId="579FFD51"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r w:rsidRPr="002E3DD7">
        <w:rPr>
          <w:rFonts w:eastAsia="Times New Roman" w:cs="Times New Roman"/>
          <w:szCs w:val="24"/>
        </w:rPr>
        <w:t>If the student is absent and has not notified the instructor prior to missing an exam, the highest grade the student may achieve is 80%.  The total of the incorrect responses on the exam</w:t>
      </w:r>
      <w:r>
        <w:rPr>
          <w:rFonts w:eastAsia="Times New Roman" w:cs="Times New Roman"/>
          <w:szCs w:val="24"/>
        </w:rPr>
        <w:t xml:space="preserve"> will be deducted from the 80%.</w:t>
      </w:r>
    </w:p>
    <w:p w14:paraId="4AA7EEFD" w14:textId="77777777" w:rsidR="00E35AC2" w:rsidRDefault="00E35AC2" w:rsidP="002E3DD7">
      <w:pPr>
        <w:pStyle w:val="ListParagraph"/>
        <w:widowControl w:val="0"/>
        <w:autoSpaceDE w:val="0"/>
        <w:autoSpaceDN w:val="0"/>
        <w:adjustRightInd w:val="0"/>
        <w:spacing w:after="0" w:line="240" w:lineRule="auto"/>
        <w:rPr>
          <w:rFonts w:eastAsia="Times New Roman" w:cs="Times New Roman"/>
          <w:szCs w:val="24"/>
        </w:rPr>
      </w:pPr>
    </w:p>
    <w:p w14:paraId="468907B0" w14:textId="38590880" w:rsidR="002E3DD7" w:rsidRPr="002E3DD7" w:rsidRDefault="002E3DD7" w:rsidP="002E3DD7">
      <w:pPr>
        <w:pStyle w:val="ListParagraph"/>
        <w:widowControl w:val="0"/>
        <w:autoSpaceDE w:val="0"/>
        <w:autoSpaceDN w:val="0"/>
        <w:adjustRightInd w:val="0"/>
        <w:spacing w:after="0" w:line="240" w:lineRule="auto"/>
        <w:rPr>
          <w:rFonts w:eastAsia="Times New Roman" w:cs="Times New Roman"/>
          <w:szCs w:val="24"/>
        </w:rPr>
      </w:pPr>
      <w:r w:rsidRPr="002E3DD7">
        <w:rPr>
          <w:rFonts w:eastAsia="Times New Roman" w:cs="Times New Roman"/>
          <w:szCs w:val="24"/>
        </w:rPr>
        <w:t>The student is responsible for contacting the instructor within 48 hours following the absence regarding a make-up opportunity for any missed exam.  Failure to do so will result in loss makeup opportunity and a grade of “0” for the exam.  Only one make-up exam per course is permitted per semester.</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7"/>
        <w:gridCol w:w="3398"/>
        <w:gridCol w:w="1345"/>
      </w:tblGrid>
      <w:tr w:rsidR="002D552E" w:rsidRPr="001D40BA" w14:paraId="43D66686" w14:textId="77777777" w:rsidTr="00A219F4">
        <w:trPr>
          <w:trHeight w:val="197"/>
        </w:trPr>
        <w:tc>
          <w:tcPr>
            <w:tcW w:w="1618" w:type="dxa"/>
            <w:vAlign w:val="center"/>
          </w:tcPr>
          <w:p w14:paraId="43D66681" w14:textId="77777777" w:rsidR="002D552E" w:rsidRPr="001D40BA" w:rsidRDefault="002D552E" w:rsidP="00A219F4">
            <w:pPr>
              <w:jc w:val="center"/>
              <w:rPr>
                <w:rFonts w:cs="Times New Roman"/>
                <w:i/>
                <w:sz w:val="16"/>
                <w:szCs w:val="18"/>
              </w:rPr>
            </w:pPr>
            <w:r w:rsidRPr="001D40BA">
              <w:rPr>
                <w:rFonts w:cs="Times New Roman"/>
                <w:i/>
                <w:sz w:val="16"/>
                <w:szCs w:val="18"/>
              </w:rPr>
              <w:t>Category</w:t>
            </w:r>
          </w:p>
        </w:tc>
        <w:tc>
          <w:tcPr>
            <w:tcW w:w="3661" w:type="dxa"/>
            <w:vAlign w:val="center"/>
          </w:tcPr>
          <w:p w14:paraId="43D66682" w14:textId="77777777" w:rsidR="002D552E" w:rsidRPr="001D40BA" w:rsidRDefault="002D552E" w:rsidP="00A219F4">
            <w:pPr>
              <w:pStyle w:val="ListParagraph"/>
              <w:ind w:hanging="720"/>
              <w:jc w:val="center"/>
              <w:rPr>
                <w:rFonts w:cs="Times New Roman"/>
                <w:b/>
                <w:i/>
                <w:sz w:val="16"/>
                <w:szCs w:val="18"/>
                <w:u w:val="single"/>
              </w:rPr>
            </w:pPr>
            <w:r w:rsidRPr="001D40BA">
              <w:rPr>
                <w:rFonts w:cs="Times New Roman"/>
                <w:b/>
                <w:i/>
                <w:sz w:val="16"/>
                <w:szCs w:val="18"/>
                <w:u w:val="single"/>
              </w:rPr>
              <w:t>EXAMPLE ONLY</w:t>
            </w:r>
          </w:p>
          <w:p w14:paraId="43D66683" w14:textId="77777777" w:rsidR="002D552E" w:rsidRPr="001D40BA" w:rsidRDefault="002D552E" w:rsidP="00A219F4">
            <w:pPr>
              <w:pStyle w:val="ListParagraph"/>
              <w:ind w:hanging="720"/>
              <w:jc w:val="center"/>
              <w:rPr>
                <w:rFonts w:cs="Times New Roman"/>
                <w:i/>
                <w:sz w:val="16"/>
                <w:szCs w:val="18"/>
              </w:rPr>
            </w:pPr>
            <w:r w:rsidRPr="001D40BA">
              <w:rPr>
                <w:rFonts w:cs="Times New Roman"/>
                <w:i/>
                <w:sz w:val="16"/>
                <w:szCs w:val="18"/>
              </w:rPr>
              <w:t>Total Points</w:t>
            </w:r>
          </w:p>
        </w:tc>
        <w:tc>
          <w:tcPr>
            <w:tcW w:w="1021" w:type="dxa"/>
            <w:vAlign w:val="center"/>
          </w:tcPr>
          <w:p w14:paraId="43D66684" w14:textId="77777777" w:rsidR="002D552E" w:rsidRPr="001D40BA" w:rsidRDefault="002D552E" w:rsidP="00A219F4">
            <w:pPr>
              <w:pStyle w:val="ListParagraph"/>
              <w:ind w:hanging="720"/>
              <w:jc w:val="center"/>
              <w:rPr>
                <w:rFonts w:cs="Times New Roman"/>
                <w:i/>
                <w:sz w:val="16"/>
                <w:szCs w:val="18"/>
              </w:rPr>
            </w:pPr>
          </w:p>
          <w:p w14:paraId="43D66685" w14:textId="77777777" w:rsidR="002D552E" w:rsidRPr="001D40BA" w:rsidRDefault="002D552E" w:rsidP="00A219F4">
            <w:pPr>
              <w:pStyle w:val="ListParagraph"/>
              <w:ind w:hanging="720"/>
              <w:jc w:val="center"/>
              <w:rPr>
                <w:rFonts w:cs="Times New Roman"/>
                <w:i/>
                <w:sz w:val="16"/>
                <w:szCs w:val="18"/>
              </w:rPr>
            </w:pPr>
            <w:r w:rsidRPr="001D40BA">
              <w:rPr>
                <w:rFonts w:cs="Times New Roman"/>
                <w:i/>
                <w:sz w:val="16"/>
                <w:szCs w:val="18"/>
              </w:rPr>
              <w:t>% of Grade</w:t>
            </w:r>
          </w:p>
        </w:tc>
      </w:tr>
      <w:tr w:rsidR="002D552E" w:rsidRPr="001D40BA" w14:paraId="43D6668A" w14:textId="77777777" w:rsidTr="00A219F4">
        <w:trPr>
          <w:trHeight w:val="193"/>
        </w:trPr>
        <w:tc>
          <w:tcPr>
            <w:tcW w:w="1618" w:type="dxa"/>
            <w:vAlign w:val="center"/>
          </w:tcPr>
          <w:p w14:paraId="43D66687" w14:textId="77777777" w:rsidR="002D552E" w:rsidRPr="001D40BA" w:rsidRDefault="002D552E" w:rsidP="00A219F4">
            <w:pPr>
              <w:pStyle w:val="ListParagraph"/>
              <w:ind w:left="38" w:hanging="38"/>
              <w:jc w:val="center"/>
              <w:rPr>
                <w:rFonts w:cs="Times New Roman"/>
                <w:sz w:val="16"/>
                <w:szCs w:val="18"/>
              </w:rPr>
            </w:pPr>
            <w:r w:rsidRPr="001D40BA">
              <w:rPr>
                <w:rFonts w:cs="Times New Roman"/>
                <w:sz w:val="16"/>
                <w:szCs w:val="18"/>
              </w:rPr>
              <w:t>Chapter Assignments  (10x30)</w:t>
            </w:r>
          </w:p>
        </w:tc>
        <w:tc>
          <w:tcPr>
            <w:tcW w:w="3661" w:type="dxa"/>
            <w:vAlign w:val="center"/>
          </w:tcPr>
          <w:p w14:paraId="43D66688"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300</w:t>
            </w:r>
          </w:p>
        </w:tc>
        <w:tc>
          <w:tcPr>
            <w:tcW w:w="1021" w:type="dxa"/>
            <w:vAlign w:val="center"/>
          </w:tcPr>
          <w:p w14:paraId="43D66689"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30%</w:t>
            </w:r>
          </w:p>
        </w:tc>
      </w:tr>
      <w:tr w:rsidR="002D552E" w:rsidRPr="001D40BA" w14:paraId="43D6668E" w14:textId="77777777" w:rsidTr="00A219F4">
        <w:trPr>
          <w:trHeight w:val="193"/>
        </w:trPr>
        <w:tc>
          <w:tcPr>
            <w:tcW w:w="1618" w:type="dxa"/>
            <w:vAlign w:val="center"/>
          </w:tcPr>
          <w:p w14:paraId="43D6668B" w14:textId="77777777" w:rsidR="002D552E" w:rsidRPr="001D40BA" w:rsidRDefault="002D552E" w:rsidP="00A219F4">
            <w:pPr>
              <w:pStyle w:val="ListParagraph"/>
              <w:ind w:left="38" w:hanging="38"/>
              <w:jc w:val="center"/>
              <w:rPr>
                <w:rFonts w:cs="Times New Roman"/>
                <w:sz w:val="16"/>
                <w:szCs w:val="18"/>
              </w:rPr>
            </w:pPr>
            <w:r w:rsidRPr="001D40BA">
              <w:rPr>
                <w:rFonts w:cs="Times New Roman"/>
                <w:sz w:val="16"/>
                <w:szCs w:val="18"/>
              </w:rPr>
              <w:t>Quizzes (10x20)</w:t>
            </w:r>
          </w:p>
        </w:tc>
        <w:tc>
          <w:tcPr>
            <w:tcW w:w="3661" w:type="dxa"/>
            <w:vAlign w:val="center"/>
          </w:tcPr>
          <w:p w14:paraId="43D6668C"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200</w:t>
            </w:r>
          </w:p>
        </w:tc>
        <w:tc>
          <w:tcPr>
            <w:tcW w:w="1021" w:type="dxa"/>
            <w:vAlign w:val="center"/>
          </w:tcPr>
          <w:p w14:paraId="43D6668D"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20%</w:t>
            </w:r>
          </w:p>
        </w:tc>
      </w:tr>
      <w:tr w:rsidR="002D552E" w:rsidRPr="001D40BA" w14:paraId="43D66692" w14:textId="77777777" w:rsidTr="00A219F4">
        <w:trPr>
          <w:trHeight w:val="193"/>
        </w:trPr>
        <w:tc>
          <w:tcPr>
            <w:tcW w:w="1618" w:type="dxa"/>
            <w:vAlign w:val="center"/>
          </w:tcPr>
          <w:p w14:paraId="43D6668F" w14:textId="77777777" w:rsidR="002D552E" w:rsidRPr="001D40BA" w:rsidRDefault="002D552E" w:rsidP="00A219F4">
            <w:pPr>
              <w:pStyle w:val="ListParagraph"/>
              <w:ind w:left="38" w:hanging="38"/>
              <w:jc w:val="center"/>
              <w:rPr>
                <w:rFonts w:cs="Times New Roman"/>
                <w:sz w:val="16"/>
                <w:szCs w:val="18"/>
              </w:rPr>
            </w:pPr>
            <w:r w:rsidRPr="001D40BA">
              <w:rPr>
                <w:rFonts w:cs="Times New Roman"/>
                <w:sz w:val="16"/>
                <w:szCs w:val="18"/>
              </w:rPr>
              <w:t>Unit Exams (3x100)</w:t>
            </w:r>
          </w:p>
        </w:tc>
        <w:tc>
          <w:tcPr>
            <w:tcW w:w="3661" w:type="dxa"/>
            <w:vAlign w:val="center"/>
          </w:tcPr>
          <w:p w14:paraId="43D66690"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300</w:t>
            </w:r>
          </w:p>
        </w:tc>
        <w:tc>
          <w:tcPr>
            <w:tcW w:w="1021" w:type="dxa"/>
            <w:vAlign w:val="center"/>
          </w:tcPr>
          <w:p w14:paraId="43D66691"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30%</w:t>
            </w:r>
          </w:p>
        </w:tc>
      </w:tr>
      <w:tr w:rsidR="002D552E" w:rsidRPr="001D40BA" w14:paraId="43D66696" w14:textId="77777777" w:rsidTr="00A219F4">
        <w:trPr>
          <w:trHeight w:val="193"/>
        </w:trPr>
        <w:tc>
          <w:tcPr>
            <w:tcW w:w="1618" w:type="dxa"/>
            <w:vAlign w:val="center"/>
          </w:tcPr>
          <w:p w14:paraId="43D66693" w14:textId="77777777" w:rsidR="002D552E" w:rsidRPr="001D40BA" w:rsidRDefault="002D552E" w:rsidP="00A219F4">
            <w:pPr>
              <w:pStyle w:val="ListParagraph"/>
              <w:ind w:left="38" w:hanging="38"/>
              <w:jc w:val="center"/>
              <w:rPr>
                <w:rFonts w:cs="Times New Roman"/>
                <w:sz w:val="16"/>
                <w:szCs w:val="18"/>
              </w:rPr>
            </w:pPr>
            <w:r w:rsidRPr="001D40BA">
              <w:rPr>
                <w:rFonts w:cs="Times New Roman"/>
                <w:sz w:val="16"/>
                <w:szCs w:val="18"/>
              </w:rPr>
              <w:t>Assignments (5x10)</w:t>
            </w:r>
          </w:p>
        </w:tc>
        <w:tc>
          <w:tcPr>
            <w:tcW w:w="3661" w:type="dxa"/>
            <w:vAlign w:val="center"/>
          </w:tcPr>
          <w:p w14:paraId="43D66694"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50</w:t>
            </w:r>
          </w:p>
        </w:tc>
        <w:tc>
          <w:tcPr>
            <w:tcW w:w="1021" w:type="dxa"/>
            <w:vAlign w:val="center"/>
          </w:tcPr>
          <w:p w14:paraId="43D66695"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5%</w:t>
            </w:r>
          </w:p>
        </w:tc>
      </w:tr>
      <w:tr w:rsidR="002D552E" w:rsidRPr="001D40BA" w14:paraId="43D6669A" w14:textId="77777777" w:rsidTr="00A219F4">
        <w:trPr>
          <w:trHeight w:val="193"/>
        </w:trPr>
        <w:tc>
          <w:tcPr>
            <w:tcW w:w="1618" w:type="dxa"/>
            <w:vAlign w:val="center"/>
          </w:tcPr>
          <w:p w14:paraId="43D66697" w14:textId="77777777" w:rsidR="002D552E" w:rsidRPr="001D40BA" w:rsidRDefault="002D552E" w:rsidP="00A219F4">
            <w:pPr>
              <w:pStyle w:val="ListParagraph"/>
              <w:ind w:left="38" w:hanging="38"/>
              <w:jc w:val="center"/>
              <w:rPr>
                <w:rFonts w:cs="Times New Roman"/>
                <w:sz w:val="16"/>
                <w:szCs w:val="18"/>
              </w:rPr>
            </w:pPr>
            <w:r w:rsidRPr="001D40BA">
              <w:rPr>
                <w:rFonts w:cs="Times New Roman"/>
                <w:sz w:val="16"/>
                <w:szCs w:val="18"/>
              </w:rPr>
              <w:t>Annual Report Project (100)</w:t>
            </w:r>
          </w:p>
        </w:tc>
        <w:tc>
          <w:tcPr>
            <w:tcW w:w="3661" w:type="dxa"/>
            <w:vAlign w:val="center"/>
          </w:tcPr>
          <w:p w14:paraId="43D66698"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100</w:t>
            </w:r>
          </w:p>
        </w:tc>
        <w:tc>
          <w:tcPr>
            <w:tcW w:w="1021" w:type="dxa"/>
            <w:vAlign w:val="center"/>
          </w:tcPr>
          <w:p w14:paraId="43D66699"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10%</w:t>
            </w:r>
          </w:p>
        </w:tc>
      </w:tr>
      <w:tr w:rsidR="002D552E" w:rsidRPr="001D40BA" w14:paraId="43D6669E" w14:textId="77777777" w:rsidTr="00A219F4">
        <w:trPr>
          <w:trHeight w:val="193"/>
        </w:trPr>
        <w:tc>
          <w:tcPr>
            <w:tcW w:w="1618" w:type="dxa"/>
            <w:vAlign w:val="center"/>
          </w:tcPr>
          <w:p w14:paraId="43D6669B" w14:textId="77777777" w:rsidR="002D552E" w:rsidRPr="001D40BA" w:rsidRDefault="002D552E" w:rsidP="00A219F4">
            <w:pPr>
              <w:pStyle w:val="ListParagraph"/>
              <w:ind w:left="38" w:hanging="38"/>
              <w:jc w:val="center"/>
              <w:rPr>
                <w:rFonts w:cs="Times New Roman"/>
                <w:sz w:val="16"/>
                <w:szCs w:val="18"/>
              </w:rPr>
            </w:pPr>
            <w:r w:rsidRPr="001D40BA">
              <w:rPr>
                <w:rFonts w:cs="Times New Roman"/>
                <w:sz w:val="16"/>
                <w:szCs w:val="18"/>
              </w:rPr>
              <w:t>Attendance</w:t>
            </w:r>
          </w:p>
        </w:tc>
        <w:tc>
          <w:tcPr>
            <w:tcW w:w="3661" w:type="dxa"/>
            <w:vAlign w:val="center"/>
          </w:tcPr>
          <w:p w14:paraId="43D6669C"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50</w:t>
            </w:r>
          </w:p>
        </w:tc>
        <w:tc>
          <w:tcPr>
            <w:tcW w:w="1021" w:type="dxa"/>
            <w:vAlign w:val="center"/>
          </w:tcPr>
          <w:p w14:paraId="43D6669D"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5%</w:t>
            </w:r>
          </w:p>
        </w:tc>
      </w:tr>
      <w:tr w:rsidR="002D552E" w:rsidRPr="001D40BA" w14:paraId="43D666A2" w14:textId="77777777" w:rsidTr="00A219F4">
        <w:trPr>
          <w:trHeight w:val="193"/>
        </w:trPr>
        <w:tc>
          <w:tcPr>
            <w:tcW w:w="1618" w:type="dxa"/>
            <w:vAlign w:val="center"/>
          </w:tcPr>
          <w:p w14:paraId="43D6669F" w14:textId="77777777" w:rsidR="002D552E" w:rsidRPr="001D40BA" w:rsidRDefault="002D552E" w:rsidP="00A219F4">
            <w:pPr>
              <w:pStyle w:val="ListParagraph"/>
              <w:ind w:left="38" w:hanging="38"/>
              <w:jc w:val="center"/>
              <w:rPr>
                <w:rFonts w:cs="Times New Roman"/>
                <w:sz w:val="16"/>
                <w:szCs w:val="18"/>
              </w:rPr>
            </w:pPr>
            <w:r w:rsidRPr="001D40BA">
              <w:rPr>
                <w:rFonts w:cs="Times New Roman"/>
                <w:sz w:val="16"/>
                <w:szCs w:val="18"/>
              </w:rPr>
              <w:t>Total</w:t>
            </w:r>
          </w:p>
        </w:tc>
        <w:tc>
          <w:tcPr>
            <w:tcW w:w="3661" w:type="dxa"/>
            <w:vAlign w:val="center"/>
          </w:tcPr>
          <w:p w14:paraId="43D666A0"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1000</w:t>
            </w:r>
          </w:p>
        </w:tc>
        <w:tc>
          <w:tcPr>
            <w:tcW w:w="1021" w:type="dxa"/>
            <w:vAlign w:val="center"/>
          </w:tcPr>
          <w:p w14:paraId="43D666A1" w14:textId="77777777" w:rsidR="002D552E" w:rsidRPr="001D40BA" w:rsidRDefault="002D552E" w:rsidP="00A219F4">
            <w:pPr>
              <w:pStyle w:val="ListParagraph"/>
              <w:ind w:hanging="720"/>
              <w:jc w:val="center"/>
              <w:rPr>
                <w:rFonts w:cs="Times New Roman"/>
                <w:sz w:val="16"/>
                <w:szCs w:val="18"/>
              </w:rPr>
            </w:pPr>
            <w:r w:rsidRPr="001D40BA">
              <w:rPr>
                <w:rFonts w:cs="Times New Roman"/>
                <w:sz w:val="16"/>
                <w:szCs w:val="18"/>
              </w:rPr>
              <w:t>100%</w:t>
            </w:r>
          </w:p>
        </w:tc>
      </w:tr>
    </w:tbl>
    <w:p w14:paraId="43D666A4" w14:textId="0BBF945B"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2077C67E" w:rsidR="002D552E" w:rsidRPr="001D40BA" w:rsidRDefault="001D40BA" w:rsidP="001D40BA">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13.</w:t>
      </w:r>
      <w:r>
        <w:rPr>
          <w:rFonts w:eastAsia="Times New Roman" w:cs="Times New Roman"/>
          <w:b/>
          <w:szCs w:val="24"/>
        </w:rPr>
        <w:tab/>
      </w:r>
      <w:r w:rsidR="002D552E" w:rsidRPr="001D40BA">
        <w:rPr>
          <w:rFonts w:eastAsia="Times New Roman" w:cs="Times New Roman"/>
          <w:b/>
          <w:szCs w:val="24"/>
        </w:rPr>
        <w:t xml:space="preserve">COURSE METHODOLOGY: </w:t>
      </w:r>
      <w:r w:rsidR="002D552E" w:rsidRPr="001D40BA">
        <w:rPr>
          <w:rFonts w:eastAsia="Times New Roman" w:cs="Times New Roman"/>
          <w:b/>
          <w:i/>
          <w:szCs w:val="24"/>
          <w:u w:val="single"/>
        </w:rPr>
        <w:t>(Course Syllabus – Individual Instructor Specific)</w:t>
      </w:r>
    </w:p>
    <w:p w14:paraId="43D666A6" w14:textId="606B96C5" w:rsidR="002D552E" w:rsidRDefault="002D552E" w:rsidP="002D552E">
      <w:pPr>
        <w:widowControl w:val="0"/>
        <w:autoSpaceDE w:val="0"/>
        <w:autoSpaceDN w:val="0"/>
        <w:adjustRightInd w:val="0"/>
        <w:spacing w:after="0" w:line="240" w:lineRule="auto"/>
        <w:rPr>
          <w:rFonts w:eastAsia="Times New Roman" w:cs="Times New Roman"/>
          <w:b/>
          <w:szCs w:val="24"/>
        </w:rPr>
      </w:pPr>
    </w:p>
    <w:p w14:paraId="199DE853" w14:textId="665F7045" w:rsidR="009F25AE" w:rsidRDefault="00B90363"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ab/>
      </w:r>
      <w:r w:rsidRPr="00B90363">
        <w:rPr>
          <w:rFonts w:eastAsia="Times New Roman" w:cs="Times New Roman"/>
          <w:szCs w:val="24"/>
        </w:rPr>
        <w:t>Lecture, discussion, audio-visual materials, written assignments, laboratory practice, on-</w:t>
      </w:r>
      <w:r>
        <w:rPr>
          <w:rFonts w:eastAsia="Times New Roman" w:cs="Times New Roman"/>
          <w:szCs w:val="24"/>
        </w:rPr>
        <w:tab/>
      </w:r>
      <w:r w:rsidRPr="00B90363">
        <w:rPr>
          <w:rFonts w:eastAsia="Times New Roman" w:cs="Times New Roman"/>
          <w:szCs w:val="24"/>
        </w:rPr>
        <w:t>site clinical instruction, experiential activities, and evaluation.</w:t>
      </w:r>
    </w:p>
    <w:p w14:paraId="7662F210" w14:textId="3195B730" w:rsidR="009F25AE" w:rsidRDefault="009F25AE">
      <w:pPr>
        <w:spacing w:after="160" w:line="259" w:lineRule="auto"/>
        <w:rPr>
          <w:rFonts w:eastAsia="Times New Roman" w:cs="Times New Roman"/>
          <w:szCs w:val="24"/>
        </w:rPr>
      </w:pPr>
    </w:p>
    <w:p w14:paraId="57A1726B" w14:textId="77777777" w:rsidR="0039660E" w:rsidRDefault="0039660E">
      <w:pPr>
        <w:spacing w:after="160" w:line="259" w:lineRule="auto"/>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0FA19516" w:rsidR="003656D3" w:rsidRDefault="003656D3" w:rsidP="002D552E">
      <w:pPr>
        <w:widowControl w:val="0"/>
        <w:autoSpaceDE w:val="0"/>
        <w:autoSpaceDN w:val="0"/>
        <w:adjustRightInd w:val="0"/>
        <w:spacing w:after="0" w:line="240" w:lineRule="auto"/>
        <w:rPr>
          <w:rFonts w:eastAsia="Times New Roman" w:cs="Times New Roman"/>
          <w:b/>
          <w:szCs w:val="24"/>
        </w:rPr>
      </w:pPr>
    </w:p>
    <w:p w14:paraId="2F044383" w14:textId="019BA8D2" w:rsidR="00B90363" w:rsidRDefault="00B90363" w:rsidP="00B90363">
      <w:pPr>
        <w:tabs>
          <w:tab w:val="left" w:pos="-1440"/>
          <w:tab w:val="left" w:pos="-720"/>
          <w:tab w:val="left" w:pos="0"/>
          <w:tab w:val="left" w:pos="45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ind w:left="450" w:hanging="450"/>
        <w:rPr>
          <w:rFonts w:eastAsia="Times New Roman" w:cs="Times New Roman"/>
          <w:szCs w:val="24"/>
        </w:rPr>
      </w:pPr>
      <w:r>
        <w:rPr>
          <w:rFonts w:eastAsia="Times New Roman" w:cs="Times New Roman"/>
          <w:b/>
          <w:szCs w:val="24"/>
        </w:rPr>
        <w:tab/>
        <w:t xml:space="preserve">     </w:t>
      </w:r>
      <w:r w:rsidRPr="00B90363">
        <w:rPr>
          <w:rFonts w:eastAsia="Times New Roman" w:cs="Times New Roman"/>
          <w:szCs w:val="24"/>
        </w:rPr>
        <w:t>The instructor will incorporate the following</w:t>
      </w:r>
      <w:r>
        <w:rPr>
          <w:rFonts w:eastAsia="Times New Roman" w:cs="Times New Roman"/>
          <w:szCs w:val="24"/>
        </w:rPr>
        <w:t xml:space="preserve"> topics and concepts related to </w:t>
      </w:r>
      <w:r w:rsidRPr="00B90363">
        <w:rPr>
          <w:rFonts w:eastAsia="Times New Roman" w:cs="Times New Roman"/>
          <w:szCs w:val="24"/>
        </w:rPr>
        <w:t xml:space="preserve">professional </w:t>
      </w:r>
      <w:r>
        <w:rPr>
          <w:rFonts w:eastAsia="Times New Roman" w:cs="Times New Roman"/>
          <w:szCs w:val="24"/>
        </w:rPr>
        <w:t xml:space="preserve">                            </w:t>
      </w:r>
    </w:p>
    <w:p w14:paraId="4BA81EA2" w14:textId="454F69A4" w:rsidR="00B90363" w:rsidRDefault="00B90363" w:rsidP="00B90363">
      <w:pPr>
        <w:tabs>
          <w:tab w:val="left" w:pos="-1440"/>
          <w:tab w:val="left" w:pos="-720"/>
          <w:tab w:val="left" w:pos="0"/>
          <w:tab w:val="left" w:pos="45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spacing w:after="0"/>
        <w:ind w:left="450" w:hanging="450"/>
        <w:rPr>
          <w:rFonts w:eastAsia="Times New Roman" w:cs="Times New Roman"/>
          <w:szCs w:val="24"/>
        </w:rPr>
      </w:pPr>
      <w:r>
        <w:rPr>
          <w:rFonts w:eastAsia="Times New Roman" w:cs="Times New Roman"/>
          <w:szCs w:val="24"/>
        </w:rPr>
        <w:t xml:space="preserve">             nursing practice throughout the course: </w:t>
      </w:r>
    </w:p>
    <w:p w14:paraId="2A9F3EA0" w14:textId="77777777" w:rsidR="00B90363" w:rsidRPr="00B90363" w:rsidRDefault="00B90363" w:rsidP="00B90363">
      <w:pPr>
        <w:tabs>
          <w:tab w:val="left" w:pos="-1440"/>
          <w:tab w:val="left" w:pos="-720"/>
          <w:tab w:val="left" w:pos="0"/>
          <w:tab w:val="left" w:pos="45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Cambria" w:eastAsia="Times New Roman" w:hAnsi="Cambria" w:cs="Times New Roman"/>
          <w:bCs/>
          <w:sz w:val="22"/>
        </w:rPr>
      </w:pPr>
    </w:p>
    <w:tbl>
      <w:tblPr>
        <w:tblStyle w:val="TableGrid1"/>
        <w:tblW w:w="0" w:type="auto"/>
        <w:tblInd w:w="738" w:type="dxa"/>
        <w:tblLook w:val="04A0" w:firstRow="1" w:lastRow="0" w:firstColumn="1" w:lastColumn="0" w:noHBand="0" w:noVBand="1"/>
        <w:tblCaption w:val="NRSG 2200 Course outline"/>
        <w:tblDescription w:val="Content and objective numbers for each week taught in NRSG 2200"/>
      </w:tblPr>
      <w:tblGrid>
        <w:gridCol w:w="1147"/>
        <w:gridCol w:w="4950"/>
        <w:gridCol w:w="2515"/>
      </w:tblGrid>
      <w:tr w:rsidR="00B90363" w:rsidRPr="00B90363" w14:paraId="36103AB3" w14:textId="77777777" w:rsidTr="00D37C5B">
        <w:trPr>
          <w:tblHeader/>
        </w:trPr>
        <w:tc>
          <w:tcPr>
            <w:tcW w:w="1147" w:type="dxa"/>
            <w:shd w:val="clear" w:color="auto" w:fill="auto"/>
            <w:vAlign w:val="center"/>
          </w:tcPr>
          <w:p w14:paraId="519EB5F5"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0"/>
              </w:rPr>
            </w:pPr>
            <w:r w:rsidRPr="00D37C5B">
              <w:rPr>
                <w:rFonts w:ascii="Cambria" w:hAnsi="Cambria"/>
                <w:b/>
                <w:bCs/>
                <w:sz w:val="20"/>
              </w:rPr>
              <w:t>WEEK OF</w:t>
            </w:r>
          </w:p>
        </w:tc>
        <w:tc>
          <w:tcPr>
            <w:tcW w:w="4950" w:type="dxa"/>
            <w:shd w:val="clear" w:color="auto" w:fill="auto"/>
            <w:vAlign w:val="center"/>
          </w:tcPr>
          <w:p w14:paraId="50B748C7"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0"/>
              </w:rPr>
            </w:pPr>
            <w:r w:rsidRPr="00D37C5B">
              <w:rPr>
                <w:rFonts w:ascii="Cambria" w:hAnsi="Cambria"/>
                <w:b/>
                <w:bCs/>
                <w:sz w:val="20"/>
              </w:rPr>
              <w:t>CONTENT</w:t>
            </w:r>
          </w:p>
        </w:tc>
        <w:tc>
          <w:tcPr>
            <w:tcW w:w="2515" w:type="dxa"/>
            <w:shd w:val="clear" w:color="auto" w:fill="auto"/>
          </w:tcPr>
          <w:p w14:paraId="226FCCCB"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center"/>
              <w:rPr>
                <w:rFonts w:ascii="Cambria" w:hAnsi="Cambria"/>
                <w:b/>
                <w:bCs/>
                <w:sz w:val="22"/>
              </w:rPr>
            </w:pPr>
            <w:r w:rsidRPr="00D37C5B">
              <w:rPr>
                <w:rFonts w:ascii="Cambria" w:hAnsi="Cambria"/>
                <w:b/>
                <w:bCs/>
                <w:sz w:val="20"/>
              </w:rPr>
              <w:t>LEARNING (COURSE) OBJECTIVE #</w:t>
            </w:r>
          </w:p>
        </w:tc>
      </w:tr>
      <w:tr w:rsidR="00B90363" w:rsidRPr="00B90363" w14:paraId="78A2B3A6" w14:textId="77777777" w:rsidTr="00D37C5B">
        <w:tc>
          <w:tcPr>
            <w:tcW w:w="1147" w:type="dxa"/>
            <w:shd w:val="clear" w:color="auto" w:fill="auto"/>
          </w:tcPr>
          <w:p w14:paraId="27A8AC49"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D37C5B">
              <w:rPr>
                <w:rFonts w:ascii="Cambria" w:hAnsi="Cambria"/>
                <w:bCs/>
                <w:sz w:val="22"/>
              </w:rPr>
              <w:t>1</w:t>
            </w:r>
          </w:p>
        </w:tc>
        <w:tc>
          <w:tcPr>
            <w:tcW w:w="4950" w:type="dxa"/>
            <w:shd w:val="clear" w:color="auto" w:fill="auto"/>
          </w:tcPr>
          <w:p w14:paraId="0CE63C66"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D37C5B">
              <w:rPr>
                <w:rFonts w:ascii="Cambria" w:hAnsi="Cambria"/>
                <w:bCs/>
                <w:sz w:val="22"/>
              </w:rPr>
              <w:t>Concept-based learning</w:t>
            </w:r>
          </w:p>
        </w:tc>
        <w:tc>
          <w:tcPr>
            <w:tcW w:w="2515" w:type="dxa"/>
            <w:shd w:val="clear" w:color="auto" w:fill="auto"/>
          </w:tcPr>
          <w:p w14:paraId="77A7BA4A" w14:textId="321E141E" w:rsidR="00B90363" w:rsidRPr="00D37C5B" w:rsidRDefault="00B23EB2"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Pr>
                <w:rFonts w:ascii="Cambria" w:hAnsi="Cambria"/>
                <w:bCs/>
                <w:sz w:val="22"/>
              </w:rPr>
              <w:t>3</w:t>
            </w:r>
          </w:p>
        </w:tc>
      </w:tr>
      <w:tr w:rsidR="00B90363" w:rsidRPr="00B90363" w14:paraId="61C53CBA" w14:textId="77777777" w:rsidTr="00D37C5B">
        <w:tc>
          <w:tcPr>
            <w:tcW w:w="1147" w:type="dxa"/>
            <w:shd w:val="clear" w:color="auto" w:fill="auto"/>
          </w:tcPr>
          <w:p w14:paraId="14D2D06F"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D37C5B">
              <w:rPr>
                <w:rFonts w:ascii="Cambria" w:hAnsi="Cambria"/>
                <w:bCs/>
                <w:sz w:val="22"/>
              </w:rPr>
              <w:t>1</w:t>
            </w:r>
          </w:p>
        </w:tc>
        <w:tc>
          <w:tcPr>
            <w:tcW w:w="4950" w:type="dxa"/>
            <w:shd w:val="clear" w:color="auto" w:fill="auto"/>
          </w:tcPr>
          <w:p w14:paraId="7692DFCD" w14:textId="29153AFD" w:rsidR="00B90363" w:rsidRPr="00D37C5B" w:rsidRDefault="00B23EB2"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Pr>
                <w:rFonts w:ascii="Cambria" w:hAnsi="Cambria"/>
                <w:bCs/>
                <w:sz w:val="22"/>
              </w:rPr>
              <w:t>Clinical Judgement</w:t>
            </w:r>
          </w:p>
        </w:tc>
        <w:tc>
          <w:tcPr>
            <w:tcW w:w="2515" w:type="dxa"/>
            <w:shd w:val="clear" w:color="auto" w:fill="auto"/>
          </w:tcPr>
          <w:p w14:paraId="7BA0C57D" w14:textId="2D366A94" w:rsidR="00B90363" w:rsidRPr="00D37C5B" w:rsidRDefault="00B23EB2"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Pr>
                <w:rFonts w:ascii="Cambria" w:hAnsi="Cambria"/>
                <w:bCs/>
                <w:sz w:val="22"/>
              </w:rPr>
              <w:t>1,2,3,4,5,6,7,8</w:t>
            </w:r>
          </w:p>
        </w:tc>
      </w:tr>
      <w:tr w:rsidR="00B90363" w:rsidRPr="00B90363" w14:paraId="7474FBD9" w14:textId="77777777" w:rsidTr="00D37C5B">
        <w:tc>
          <w:tcPr>
            <w:tcW w:w="1147" w:type="dxa"/>
            <w:shd w:val="clear" w:color="auto" w:fill="auto"/>
          </w:tcPr>
          <w:p w14:paraId="66B79032"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D37C5B">
              <w:rPr>
                <w:rFonts w:ascii="Cambria" w:hAnsi="Cambria"/>
                <w:bCs/>
                <w:sz w:val="22"/>
              </w:rPr>
              <w:t>2, 3, 4</w:t>
            </w:r>
          </w:p>
        </w:tc>
        <w:tc>
          <w:tcPr>
            <w:tcW w:w="4950" w:type="dxa"/>
            <w:shd w:val="clear" w:color="auto" w:fill="auto"/>
            <w:vAlign w:val="center"/>
          </w:tcPr>
          <w:p w14:paraId="2B23CC32"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r w:rsidRPr="00D37C5B">
              <w:rPr>
                <w:rFonts w:ascii="Cambria" w:hAnsi="Cambria"/>
                <w:bCs/>
                <w:sz w:val="22"/>
              </w:rPr>
              <w:t>Perfusion</w:t>
            </w:r>
          </w:p>
        </w:tc>
        <w:tc>
          <w:tcPr>
            <w:tcW w:w="2515" w:type="dxa"/>
            <w:shd w:val="clear" w:color="auto" w:fill="auto"/>
            <w:vAlign w:val="center"/>
          </w:tcPr>
          <w:p w14:paraId="175D6193" w14:textId="4EB9F9C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r w:rsidRPr="00D37C5B">
              <w:rPr>
                <w:rFonts w:ascii="Cambria" w:hAnsi="Cambria"/>
                <w:bCs/>
                <w:sz w:val="22"/>
              </w:rPr>
              <w:t xml:space="preserve">1, </w:t>
            </w:r>
            <w:r w:rsidR="00B23EB2">
              <w:rPr>
                <w:rFonts w:ascii="Cambria" w:hAnsi="Cambria"/>
                <w:bCs/>
                <w:sz w:val="22"/>
              </w:rPr>
              <w:t>2,</w:t>
            </w:r>
            <w:r w:rsidRPr="00D37C5B">
              <w:rPr>
                <w:rFonts w:ascii="Cambria" w:hAnsi="Cambria"/>
                <w:bCs/>
                <w:sz w:val="22"/>
              </w:rPr>
              <w:t>4, 5, 6, 7</w:t>
            </w:r>
            <w:r w:rsidR="00B23EB2">
              <w:rPr>
                <w:rFonts w:ascii="Cambria" w:hAnsi="Cambria"/>
                <w:bCs/>
                <w:sz w:val="22"/>
              </w:rPr>
              <w:t>,8</w:t>
            </w:r>
          </w:p>
        </w:tc>
      </w:tr>
      <w:tr w:rsidR="00B90363" w:rsidRPr="00B90363" w14:paraId="15C134D7" w14:textId="77777777" w:rsidTr="00D37C5B">
        <w:tc>
          <w:tcPr>
            <w:tcW w:w="1147" w:type="dxa"/>
            <w:shd w:val="clear" w:color="auto" w:fill="auto"/>
          </w:tcPr>
          <w:p w14:paraId="46EE9D8E"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D37C5B">
              <w:rPr>
                <w:rFonts w:ascii="Cambria" w:hAnsi="Cambria"/>
                <w:bCs/>
                <w:sz w:val="22"/>
              </w:rPr>
              <w:t>5, 6, 7</w:t>
            </w:r>
          </w:p>
        </w:tc>
        <w:tc>
          <w:tcPr>
            <w:tcW w:w="4950" w:type="dxa"/>
            <w:shd w:val="clear" w:color="auto" w:fill="auto"/>
            <w:vAlign w:val="center"/>
          </w:tcPr>
          <w:p w14:paraId="4B1F35D0"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r w:rsidRPr="00D37C5B">
              <w:rPr>
                <w:rFonts w:ascii="Cambria" w:hAnsi="Cambria"/>
                <w:bCs/>
                <w:sz w:val="22"/>
              </w:rPr>
              <w:t>Gas Exchange</w:t>
            </w:r>
          </w:p>
        </w:tc>
        <w:tc>
          <w:tcPr>
            <w:tcW w:w="2515" w:type="dxa"/>
            <w:shd w:val="clear" w:color="auto" w:fill="auto"/>
            <w:vAlign w:val="center"/>
          </w:tcPr>
          <w:p w14:paraId="0760559E" w14:textId="20FB83D8"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r w:rsidRPr="00D37C5B">
              <w:rPr>
                <w:rFonts w:ascii="Cambria" w:hAnsi="Cambria"/>
                <w:bCs/>
                <w:sz w:val="22"/>
              </w:rPr>
              <w:t xml:space="preserve">1, </w:t>
            </w:r>
            <w:r w:rsidR="00B23EB2">
              <w:rPr>
                <w:rFonts w:ascii="Cambria" w:hAnsi="Cambria"/>
                <w:bCs/>
                <w:sz w:val="22"/>
              </w:rPr>
              <w:t>2,</w:t>
            </w:r>
            <w:r w:rsidRPr="00D37C5B">
              <w:rPr>
                <w:rFonts w:ascii="Cambria" w:hAnsi="Cambria"/>
                <w:bCs/>
                <w:sz w:val="22"/>
              </w:rPr>
              <w:t xml:space="preserve"> 4, 5, 6, 7</w:t>
            </w:r>
            <w:r w:rsidR="00B23EB2">
              <w:rPr>
                <w:rFonts w:ascii="Cambria" w:hAnsi="Cambria"/>
                <w:bCs/>
                <w:sz w:val="22"/>
              </w:rPr>
              <w:t>,8</w:t>
            </w:r>
          </w:p>
        </w:tc>
      </w:tr>
      <w:tr w:rsidR="00B90363" w:rsidRPr="00B90363" w14:paraId="4F49D45E" w14:textId="77777777" w:rsidTr="00D37C5B">
        <w:tc>
          <w:tcPr>
            <w:tcW w:w="1147" w:type="dxa"/>
            <w:shd w:val="clear" w:color="auto" w:fill="auto"/>
          </w:tcPr>
          <w:p w14:paraId="3014D68D"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ambria" w:hAnsi="Cambria"/>
                <w:bCs/>
                <w:sz w:val="22"/>
              </w:rPr>
            </w:pPr>
            <w:r w:rsidRPr="00D37C5B">
              <w:rPr>
                <w:rFonts w:ascii="Cambria" w:hAnsi="Cambria"/>
                <w:bCs/>
                <w:sz w:val="22"/>
              </w:rPr>
              <w:t>8, 9, 10</w:t>
            </w:r>
          </w:p>
        </w:tc>
        <w:tc>
          <w:tcPr>
            <w:tcW w:w="4950" w:type="dxa"/>
            <w:shd w:val="clear" w:color="auto" w:fill="auto"/>
            <w:vAlign w:val="center"/>
          </w:tcPr>
          <w:p w14:paraId="2A77ACC6" w14:textId="77777777"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r w:rsidRPr="00D37C5B">
              <w:rPr>
                <w:rFonts w:ascii="Cambria" w:hAnsi="Cambria"/>
                <w:bCs/>
                <w:sz w:val="22"/>
              </w:rPr>
              <w:t>Glucose Regulation</w:t>
            </w:r>
          </w:p>
        </w:tc>
        <w:tc>
          <w:tcPr>
            <w:tcW w:w="2515" w:type="dxa"/>
            <w:shd w:val="clear" w:color="auto" w:fill="auto"/>
            <w:vAlign w:val="center"/>
          </w:tcPr>
          <w:p w14:paraId="4C2C01B2" w14:textId="05D71418" w:rsidR="00B90363" w:rsidRPr="00D37C5B" w:rsidRDefault="00B90363" w:rsidP="00B90363">
            <w:pPr>
              <w:widowControl w:val="0"/>
              <w:tabs>
                <w:tab w:val="left" w:pos="-1440"/>
                <w:tab w:val="left" w:pos="-720"/>
                <w:tab w:val="left" w:pos="0"/>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mbria" w:hAnsi="Cambria"/>
                <w:bCs/>
                <w:sz w:val="22"/>
              </w:rPr>
            </w:pPr>
            <w:r w:rsidRPr="00D37C5B">
              <w:rPr>
                <w:rFonts w:ascii="Cambria" w:hAnsi="Cambria"/>
                <w:bCs/>
                <w:sz w:val="22"/>
              </w:rPr>
              <w:t xml:space="preserve">1, </w:t>
            </w:r>
            <w:r w:rsidR="00B23EB2">
              <w:rPr>
                <w:rFonts w:ascii="Cambria" w:hAnsi="Cambria"/>
                <w:bCs/>
                <w:sz w:val="22"/>
              </w:rPr>
              <w:t>2</w:t>
            </w:r>
            <w:r w:rsidRPr="00D37C5B">
              <w:rPr>
                <w:rFonts w:ascii="Cambria" w:hAnsi="Cambria"/>
                <w:bCs/>
                <w:sz w:val="22"/>
              </w:rPr>
              <w:t>, 4, 5, 6, 7</w:t>
            </w:r>
            <w:r w:rsidR="00B23EB2">
              <w:rPr>
                <w:rFonts w:ascii="Cambria" w:hAnsi="Cambria"/>
                <w:bCs/>
                <w:sz w:val="22"/>
              </w:rPr>
              <w:t>,8</w:t>
            </w:r>
          </w:p>
        </w:tc>
      </w:tr>
    </w:tbl>
    <w:p w14:paraId="44E11DD8" w14:textId="3F82EDDE" w:rsidR="00B90363" w:rsidRDefault="00B90363" w:rsidP="002D552E">
      <w:pPr>
        <w:widowControl w:val="0"/>
        <w:autoSpaceDE w:val="0"/>
        <w:autoSpaceDN w:val="0"/>
        <w:adjustRightInd w:val="0"/>
        <w:spacing w:after="0" w:line="240" w:lineRule="auto"/>
        <w:rPr>
          <w:rFonts w:eastAsia="Times New Roman" w:cs="Times New Roman"/>
          <w:b/>
          <w:szCs w:val="24"/>
        </w:rPr>
      </w:pPr>
    </w:p>
    <w:p w14:paraId="43D666A9" w14:textId="14360BCC" w:rsidR="002D552E" w:rsidRPr="00B90363" w:rsidRDefault="002D552E"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B90363">
        <w:rPr>
          <w:rFonts w:eastAsia="Times New Roman" w:cs="Times New Roman"/>
          <w:b/>
          <w:szCs w:val="24"/>
        </w:rPr>
        <w:t xml:space="preserve"> </w:t>
      </w:r>
      <w:r w:rsidR="00B90363">
        <w:rPr>
          <w:rFonts w:eastAsia="Times New Roman" w:cs="Times New Roman"/>
          <w:szCs w:val="24"/>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E1FC808"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7968C5">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334BFD17"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968C5">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0EC9DD6D" w14:textId="77777777" w:rsidR="00286B03" w:rsidRPr="00286B03" w:rsidRDefault="00A138F5" w:rsidP="00286B03">
      <w:pPr>
        <w:pStyle w:val="NormalWeb"/>
        <w:rPr>
          <w:color w:val="000000"/>
        </w:rPr>
      </w:pPr>
      <w:r w:rsidRPr="00A138F5">
        <w:rPr>
          <w:b/>
        </w:rPr>
        <w:t xml:space="preserve">17. </w:t>
      </w:r>
      <w:r>
        <w:rPr>
          <w:b/>
        </w:rPr>
        <w:tab/>
      </w:r>
      <w:r w:rsidR="00286B03" w:rsidRPr="00286B03">
        <w:rPr>
          <w:color w:val="000000"/>
        </w:rPr>
        <w:t>ACCOMMODATIONS: *</w:t>
      </w:r>
    </w:p>
    <w:p w14:paraId="714055E4" w14:textId="77777777" w:rsidR="00286B03" w:rsidRPr="00286B03" w:rsidRDefault="00286B03" w:rsidP="00286B03">
      <w:pPr>
        <w:pStyle w:val="NormalWeb"/>
        <w:ind w:left="720"/>
        <w:rPr>
          <w:color w:val="000000"/>
        </w:rPr>
      </w:pPr>
      <w:bookmarkStart w:id="1" w:name="_Hlk160108563"/>
      <w:r w:rsidRPr="00286B03">
        <w:rPr>
          <w:color w:val="000000"/>
        </w:rPr>
        <w:t>Students requesting accommodations may contact Ryan Hall, Accessibility Coordinator at rhall21@sscc.edu or 937-393-3431, X 2604.</w:t>
      </w:r>
    </w:p>
    <w:bookmarkEnd w:id="1"/>
    <w:p w14:paraId="4C2C0DFA" w14:textId="77777777" w:rsidR="00286B03" w:rsidRPr="00286B03" w:rsidRDefault="00286B03" w:rsidP="00286B03">
      <w:pPr>
        <w:pStyle w:val="NormalWeb"/>
        <w:ind w:left="720"/>
        <w:rPr>
          <w:color w:val="000000"/>
        </w:rPr>
      </w:pPr>
      <w:r w:rsidRPr="00286B03">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72A9DBD0" w14:textId="77777777" w:rsidR="00B07C1F" w:rsidRDefault="00B07C1F" w:rsidP="00286B03">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4E0BB6C7"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9A5FC29" w14:textId="77777777" w:rsidR="00B07C1F" w:rsidRPr="003801D0" w:rsidRDefault="00B07C1F" w:rsidP="00B07C1F">
      <w:pPr>
        <w:spacing w:after="0"/>
      </w:pPr>
      <w:r>
        <w:rPr>
          <w:rFonts w:eastAsia="Times New Roman" w:cs="Times New Roman"/>
          <w:szCs w:val="24"/>
        </w:rP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4FC795BF" w14:textId="77777777" w:rsidR="00B07C1F" w:rsidRPr="003801D0" w:rsidRDefault="00B07C1F" w:rsidP="00B07C1F">
      <w:pPr>
        <w:spacing w:after="0"/>
      </w:pPr>
    </w:p>
    <w:p w14:paraId="36C8ACF5" w14:textId="77777777" w:rsidR="00B07C1F" w:rsidRDefault="00B07C1F" w:rsidP="00B07C1F">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4BA01469" w14:textId="77777777" w:rsidR="00B07C1F" w:rsidRDefault="00B07C1F" w:rsidP="00B07C1F">
      <w:pPr>
        <w:spacing w:after="0"/>
      </w:pPr>
    </w:p>
    <w:p w14:paraId="573BDF14" w14:textId="77777777" w:rsidR="00B07C1F" w:rsidRPr="003801D0" w:rsidRDefault="00B07C1F" w:rsidP="00B07C1F">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2EE9E16D" w14:textId="77777777" w:rsidR="00B07C1F" w:rsidRPr="003801D0" w:rsidRDefault="00B07C1F" w:rsidP="00B07C1F">
      <w:pPr>
        <w:spacing w:after="0"/>
      </w:pPr>
    </w:p>
    <w:p w14:paraId="5D79E04C" w14:textId="77777777" w:rsidR="00B07C1F" w:rsidRPr="003801D0" w:rsidRDefault="00B07C1F" w:rsidP="00B07C1F">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326FC6FC" w14:textId="05319176" w:rsidR="00B07C1F" w:rsidRDefault="00B07C1F"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9011A3C" w14:textId="631BDC24" w:rsidR="003656D3"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7ECC" w14:textId="77777777" w:rsidR="002D0D6A" w:rsidRDefault="002D0D6A" w:rsidP="002D552E">
      <w:pPr>
        <w:spacing w:after="0" w:line="240" w:lineRule="auto"/>
      </w:pPr>
      <w:r>
        <w:separator/>
      </w:r>
    </w:p>
  </w:endnote>
  <w:endnote w:type="continuationSeparator" w:id="0">
    <w:p w14:paraId="3AFB25EB" w14:textId="77777777" w:rsidR="002D0D6A" w:rsidRDefault="002D0D6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59C9" w14:textId="77777777" w:rsidR="002D0D6A" w:rsidRDefault="002D0D6A" w:rsidP="002D552E">
      <w:pPr>
        <w:spacing w:after="0" w:line="240" w:lineRule="auto"/>
      </w:pPr>
      <w:r>
        <w:separator/>
      </w:r>
    </w:p>
  </w:footnote>
  <w:footnote w:type="continuationSeparator" w:id="0">
    <w:p w14:paraId="5ED3ACC1" w14:textId="77777777" w:rsidR="002D0D6A" w:rsidRDefault="002D0D6A"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3FEE2FE2" w:rsidR="006B0B4B" w:rsidRPr="00D9546F" w:rsidRDefault="001B150F" w:rsidP="006B0B4B">
    <w:pPr>
      <w:pStyle w:val="NoSpacing"/>
      <w:rPr>
        <w:b/>
        <w:sz w:val="20"/>
        <w:szCs w:val="20"/>
      </w:rPr>
    </w:pPr>
    <w:r>
      <w:rPr>
        <w:b/>
        <w:sz w:val="20"/>
        <w:szCs w:val="20"/>
      </w:rPr>
      <w:t>NRSG 2200 – LPN to RN Bridge</w:t>
    </w:r>
  </w:p>
  <w:p w14:paraId="43D666BC" w14:textId="58EE7C7C"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3E794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E7948">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E33D3B2"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39660E">
      <w:rPr>
        <w:b/>
        <w:sz w:val="20"/>
        <w:szCs w:val="20"/>
      </w:rPr>
      <w:t>February 2025</w:t>
    </w:r>
  </w:p>
  <w:p w14:paraId="0B623F1C" w14:textId="5F6D60AA" w:rsidR="007D595B" w:rsidRPr="00D9546F" w:rsidRDefault="002E3DD7" w:rsidP="007D595B">
    <w:pPr>
      <w:pStyle w:val="NoSpacing"/>
      <w:rPr>
        <w:b/>
        <w:sz w:val="20"/>
        <w:szCs w:val="20"/>
      </w:rPr>
    </w:pPr>
    <w:r>
      <w:rPr>
        <w:b/>
        <w:sz w:val="20"/>
        <w:szCs w:val="20"/>
      </w:rPr>
      <w:t xml:space="preserve">NRSG 2200 -- </w:t>
    </w:r>
    <w:r w:rsidRPr="002E3DD7">
      <w:rPr>
        <w:b/>
        <w:sz w:val="20"/>
        <w:szCs w:val="20"/>
      </w:rPr>
      <w:t>LPN to RN Bridge</w:t>
    </w:r>
  </w:p>
  <w:p w14:paraId="0661D6D7" w14:textId="435DF30F"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3E794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E7948">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B1C46064"/>
    <w:lvl w:ilvl="0" w:tplc="6EB0F19A">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1C0B8F"/>
    <w:multiLevelType w:val="hybridMultilevel"/>
    <w:tmpl w:val="52A4B836"/>
    <w:lvl w:ilvl="0" w:tplc="446C6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A0C30"/>
    <w:rsid w:val="00121C38"/>
    <w:rsid w:val="00166791"/>
    <w:rsid w:val="001B150F"/>
    <w:rsid w:val="001D40BA"/>
    <w:rsid w:val="00286B03"/>
    <w:rsid w:val="0029523F"/>
    <w:rsid w:val="002D0D6A"/>
    <w:rsid w:val="002D552E"/>
    <w:rsid w:val="002E3DD7"/>
    <w:rsid w:val="003656D3"/>
    <w:rsid w:val="0039660E"/>
    <w:rsid w:val="003E7948"/>
    <w:rsid w:val="003F3BB9"/>
    <w:rsid w:val="004A1117"/>
    <w:rsid w:val="004D1743"/>
    <w:rsid w:val="0051463C"/>
    <w:rsid w:val="00561C9D"/>
    <w:rsid w:val="00590F35"/>
    <w:rsid w:val="005A1847"/>
    <w:rsid w:val="00626EDD"/>
    <w:rsid w:val="006B0B4B"/>
    <w:rsid w:val="007033A4"/>
    <w:rsid w:val="007558BE"/>
    <w:rsid w:val="007968C5"/>
    <w:rsid w:val="007D595B"/>
    <w:rsid w:val="0089532D"/>
    <w:rsid w:val="00906254"/>
    <w:rsid w:val="009079C9"/>
    <w:rsid w:val="00931E3B"/>
    <w:rsid w:val="00945FDC"/>
    <w:rsid w:val="009533D5"/>
    <w:rsid w:val="009F25AE"/>
    <w:rsid w:val="00A138F5"/>
    <w:rsid w:val="00A536A7"/>
    <w:rsid w:val="00A824B0"/>
    <w:rsid w:val="00AA122B"/>
    <w:rsid w:val="00B07C1F"/>
    <w:rsid w:val="00B23EB2"/>
    <w:rsid w:val="00B90363"/>
    <w:rsid w:val="00C101DC"/>
    <w:rsid w:val="00D1718E"/>
    <w:rsid w:val="00D37C5B"/>
    <w:rsid w:val="00DD28C2"/>
    <w:rsid w:val="00E22402"/>
    <w:rsid w:val="00E35AC2"/>
    <w:rsid w:val="00E75D32"/>
    <w:rsid w:val="00F220F9"/>
    <w:rsid w:val="00FA3E42"/>
    <w:rsid w:val="00FB4934"/>
    <w:rsid w:val="00FC1F69"/>
    <w:rsid w:val="00FC2862"/>
    <w:rsid w:val="075E69A1"/>
    <w:rsid w:val="094A2ECB"/>
    <w:rsid w:val="0DBF2A59"/>
    <w:rsid w:val="191AFFDF"/>
    <w:rsid w:val="1CEEC071"/>
    <w:rsid w:val="251F2A3D"/>
    <w:rsid w:val="35CC209E"/>
    <w:rsid w:val="3705831C"/>
    <w:rsid w:val="3B6DFCCD"/>
    <w:rsid w:val="42AFEB61"/>
    <w:rsid w:val="4E944EA5"/>
    <w:rsid w:val="4FB93DFB"/>
    <w:rsid w:val="64803D4B"/>
    <w:rsid w:val="6635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rsid w:val="00B903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0BA"/>
    <w:rPr>
      <w:color w:val="0563C1" w:themeColor="hyperlink"/>
      <w:u w:val="single"/>
    </w:rPr>
  </w:style>
  <w:style w:type="paragraph" w:styleId="NormalWeb">
    <w:name w:val="Normal (Web)"/>
    <w:basedOn w:val="Normal"/>
    <w:uiPriority w:val="99"/>
    <w:semiHidden/>
    <w:unhideWhenUsed/>
    <w:rsid w:val="00286B03"/>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23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purl.org/dc/dcmitype/"/>
    <ds:schemaRef ds:uri="eb982b96-4599-4677-97e5-62fafcacf09d"/>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4249713-ed63-4441-8474-ee629ca1c545"/>
  </ds:schemaRefs>
</ds:datastoreItem>
</file>

<file path=customXml/itemProps3.xml><?xml version="1.0" encoding="utf-8"?>
<ds:datastoreItem xmlns:ds="http://schemas.openxmlformats.org/officeDocument/2006/customXml" ds:itemID="{F772660D-1CC6-4F1B-AC0C-93468BD83DE8}"/>
</file>

<file path=customXml/itemProps4.xml><?xml version="1.0" encoding="utf-8"?>
<ds:datastoreItem xmlns:ds="http://schemas.openxmlformats.org/officeDocument/2006/customXml" ds:itemID="{12699F8B-4F9D-476E-AE80-82A4ACF7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cp:lastPrinted>2024-02-29T19:05:00Z</cp:lastPrinted>
  <dcterms:created xsi:type="dcterms:W3CDTF">2025-02-05T17:06:00Z</dcterms:created>
  <dcterms:modified xsi:type="dcterms:W3CDTF">2025-02-06T14:14:00Z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CurriculumApproval">
    <vt:bool>true</vt:bool>
  </property>
</Properties>
</file>